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26" w:rsidRPr="006E4514" w:rsidRDefault="006E4514" w:rsidP="00D75E9A">
      <w:pPr>
        <w:jc w:val="center"/>
        <w:rPr>
          <w:b/>
          <w:i/>
          <w:szCs w:val="24"/>
        </w:rPr>
      </w:pPr>
      <w:bookmarkStart w:id="0" w:name="_GoBack"/>
      <w:bookmarkEnd w:id="0"/>
      <w:r w:rsidRPr="006E4514">
        <w:rPr>
          <w:b/>
          <w:i/>
          <w:szCs w:val="24"/>
        </w:rPr>
        <w:t>OKT vélemény</w:t>
      </w:r>
      <w:r w:rsidR="00304F26" w:rsidRPr="006E4514">
        <w:rPr>
          <w:bCs/>
          <w:i/>
          <w:szCs w:val="24"/>
        </w:rPr>
        <w:t xml:space="preserve"> </w:t>
      </w:r>
      <w:r w:rsidR="00304F26" w:rsidRPr="006E4514">
        <w:rPr>
          <w:b/>
          <w:i/>
          <w:szCs w:val="24"/>
        </w:rPr>
        <w:t>a Balaton Kiemelt Üdülőkörzet Területrendezési Tervének elfogadásáról és a Balatoni Területrendezési Szabályzat megállapításáról szóló 2000. évi CXII. törvény módosításáról</w:t>
      </w:r>
    </w:p>
    <w:p w:rsidR="00304F26" w:rsidRDefault="00304F26" w:rsidP="00D75E9A">
      <w:pPr>
        <w:jc w:val="both"/>
        <w:rPr>
          <w:rStyle w:val="Kiemels2"/>
          <w:u w:val="single"/>
        </w:rPr>
      </w:pPr>
    </w:p>
    <w:p w:rsidR="00EF46C2" w:rsidRPr="00525A43" w:rsidRDefault="00EF46C2" w:rsidP="00525A43">
      <w:pPr>
        <w:spacing w:after="120"/>
        <w:jc w:val="both"/>
        <w:rPr>
          <w:rStyle w:val="Kiemels2"/>
          <w:b w:val="0"/>
        </w:rPr>
      </w:pPr>
      <w:r w:rsidRPr="00525A43">
        <w:rPr>
          <w:rStyle w:val="Kiemels2"/>
          <w:b w:val="0"/>
        </w:rPr>
        <w:t xml:space="preserve">A </w:t>
      </w:r>
      <w:r w:rsidR="00967347" w:rsidRPr="00525A43">
        <w:rPr>
          <w:rStyle w:val="Kiemels2"/>
          <w:b w:val="0"/>
        </w:rPr>
        <w:t xml:space="preserve">Tanács a </w:t>
      </w:r>
      <w:r w:rsidRPr="00525A43">
        <w:rPr>
          <w:rStyle w:val="Kiemels2"/>
          <w:b w:val="0"/>
        </w:rPr>
        <w:t>megküldött előterjesztést ala</w:t>
      </w:r>
      <w:r w:rsidR="00967347" w:rsidRPr="00525A43">
        <w:rPr>
          <w:rStyle w:val="Kiemels2"/>
          <w:b w:val="0"/>
        </w:rPr>
        <w:t>pvetően elfogadhatónak tartja, ugyanakkor az erdőterületek tekintetében tesz néhány fontos észrevételt. Valamint kéri az előterjesztőt</w:t>
      </w:r>
      <w:r w:rsidRPr="00525A43">
        <w:rPr>
          <w:rStyle w:val="Kiemels2"/>
          <w:b w:val="0"/>
        </w:rPr>
        <w:t>, hogy a törvény későbbi módosításainak véleményezésére is legyen lehetősége a Tanácsnak.</w:t>
      </w:r>
    </w:p>
    <w:p w:rsidR="00304F26" w:rsidRPr="00525A43" w:rsidRDefault="00304F26" w:rsidP="00525A43">
      <w:pPr>
        <w:spacing w:after="120"/>
        <w:jc w:val="both"/>
      </w:pPr>
      <w:r w:rsidRPr="00525A43">
        <w:rPr>
          <w:rStyle w:val="Kiemels2"/>
          <w:b w:val="0"/>
        </w:rPr>
        <w:t xml:space="preserve">Az előterjesztett módosítási javaslat az erdőgazdálkodási térség területére és a zöldterületekre vonatkozóan javasol jelentős változtatásokat. Az erdőterületekre vonatkozó szabályozás változtatása néhány település miatt szükséges, </w:t>
      </w:r>
      <w:r w:rsidRPr="00525A43">
        <w:t>de az egész üdülőkörzet valamennyi települését érinti. A tervezett erdőknél a megfogalmazott 10 %-os módosítási lehetőség igen jelentős és csak bizonyos konkrét esetekben lehet indokolt. A tapasztalatok szerint, ha átsorolásra kerül a települési területfelhasználási egység az általában intenzívebb lesz, jellemzően inkább üdülőházas üdülőkörzet mint zöldterület. Felhívjuk a figyelmet, hogy az OTrT-ben nem szerepelnek a 0,5 ha-nál kisebb kiterjedésű erdők, amelyek sokszor kiemelt értéket képviselnek pl. patakparti erdősáv, vízparti idős füzes. A változatott szabályozás célját értve javasoljuk, hogy a törvény biztosítsa, hogy az átsorolásra csak indokolt és természetvédelmi szempontokat nem sértő esetben legyen végezhető és biztosítson ennek ellenőrzéséhez megfelelő eszközt is.</w:t>
      </w:r>
    </w:p>
    <w:p w:rsidR="00304F26" w:rsidRPr="00525A43" w:rsidRDefault="00304F26" w:rsidP="00D75E9A">
      <w:pPr>
        <w:jc w:val="both"/>
      </w:pPr>
    </w:p>
    <w:p w:rsidR="00304F26" w:rsidRPr="00525A43" w:rsidRDefault="00304F26" w:rsidP="00D75E9A">
      <w:pPr>
        <w:jc w:val="both"/>
      </w:pPr>
      <w:r w:rsidRPr="00525A43">
        <w:t>A zöldterületekre vonatkozó módosítások célját elfogadhatónak tartjuk, de néhány helyen javaslunk változást:</w:t>
      </w:r>
    </w:p>
    <w:p w:rsidR="00304F26" w:rsidRPr="00525A43" w:rsidRDefault="00304F26" w:rsidP="00D75E9A">
      <w:pPr>
        <w:jc w:val="both"/>
      </w:pPr>
    </w:p>
    <w:p w:rsidR="00304F26" w:rsidRPr="00525A43" w:rsidRDefault="00304F26" w:rsidP="00D75E9A">
      <w:pPr>
        <w:autoSpaceDE w:val="0"/>
        <w:autoSpaceDN w:val="0"/>
        <w:adjustRightInd w:val="0"/>
        <w:jc w:val="both"/>
        <w:rPr>
          <w:i/>
        </w:rPr>
      </w:pPr>
      <w:r w:rsidRPr="00525A43">
        <w:rPr>
          <w:i/>
        </w:rPr>
        <w:t>„</w:t>
      </w:r>
      <w:r w:rsidRPr="00525A43">
        <w:t>Btv. 6. §-</w:t>
      </w:r>
      <w:r w:rsidRPr="00525A43">
        <w:rPr>
          <w:i/>
        </w:rPr>
        <w:t xml:space="preserve"> (2).d) a vízpart-rehabilitációs tervben kijelölt közhasználatú parti sétány legalább 10 m szélessége biztosítandó,”</w:t>
      </w:r>
    </w:p>
    <w:p w:rsidR="00304F26" w:rsidRPr="00525A43" w:rsidRDefault="006E4514" w:rsidP="00D75E9A">
      <w:pPr>
        <w:jc w:val="both"/>
        <w:rPr>
          <w:rStyle w:val="Kiemels2"/>
          <w:b w:val="0"/>
        </w:rPr>
      </w:pPr>
      <w:r w:rsidRPr="00525A43">
        <w:rPr>
          <w:rStyle w:val="Kiemels2"/>
          <w:b w:val="0"/>
        </w:rPr>
        <w:t>Nem támogatjuk a 10 m</w:t>
      </w:r>
      <w:r w:rsidR="00304F26" w:rsidRPr="00525A43">
        <w:rPr>
          <w:rStyle w:val="Kiemels2"/>
          <w:b w:val="0"/>
        </w:rPr>
        <w:t>éteres parti sétány kötelező biztosítását, mert ez természetvédelmi érdekekkel ellentétes is lehet ott, ahol nincs ehhez kellő szélesség.</w:t>
      </w:r>
    </w:p>
    <w:p w:rsidR="00304F26" w:rsidRPr="00525A43" w:rsidRDefault="00304F26" w:rsidP="00D75E9A">
      <w:pPr>
        <w:jc w:val="both"/>
        <w:rPr>
          <w:rStyle w:val="Kiemels2"/>
          <w:b w:val="0"/>
        </w:rPr>
      </w:pPr>
    </w:p>
    <w:p w:rsidR="00304F26" w:rsidRPr="00525A43" w:rsidRDefault="00304F26" w:rsidP="00D75E9A">
      <w:pPr>
        <w:autoSpaceDE w:val="0"/>
        <w:autoSpaceDN w:val="0"/>
        <w:adjustRightInd w:val="0"/>
        <w:jc w:val="both"/>
        <w:rPr>
          <w:i/>
          <w:iCs/>
        </w:rPr>
      </w:pPr>
      <w:r w:rsidRPr="00525A43">
        <w:rPr>
          <w:i/>
          <w:iCs/>
        </w:rPr>
        <w:t>„</w:t>
      </w:r>
      <w:r w:rsidRPr="00525A43">
        <w:t>Btv. 6. §-</w:t>
      </w:r>
      <w:r w:rsidRPr="00525A43">
        <w:rPr>
          <w:i/>
          <w:iCs/>
        </w:rPr>
        <w:t xml:space="preserve"> (5) Zöldterületen csak </w:t>
      </w:r>
      <w:r w:rsidRPr="00525A43">
        <w:rPr>
          <w:i/>
        </w:rPr>
        <w:t>vendéglátó rendeltetést tartalmazó épület, pihenést és testedzést szolgáló műtárgy és a terület rendeltetésszerű használatához szükséges építmény helyezhető el legfeljebb 4%-os beépítettséggel, legfeljebb 4,5 m beépítési magassággal.”</w:t>
      </w:r>
    </w:p>
    <w:p w:rsidR="00304F26" w:rsidRPr="00525A43" w:rsidRDefault="00304F26" w:rsidP="00D75E9A">
      <w:pPr>
        <w:jc w:val="both"/>
        <w:rPr>
          <w:rStyle w:val="Kiemels2"/>
          <w:b w:val="0"/>
        </w:rPr>
      </w:pPr>
      <w:r w:rsidRPr="00525A43">
        <w:rPr>
          <w:rStyle w:val="Kiemels2"/>
          <w:b w:val="0"/>
        </w:rPr>
        <w:t>Csak az újonnan létesítendő zöld felületre vonatkoztatva tartjuk ezt elfogadhatónak, mivel a régieknél ez jelentős növekedést eredményezne. Ezen kívül javasoljuk a vendéglátó rendeltetés megnevezés pontosítását, hogy ez ne eredményezzen szálláshely létesítést.</w:t>
      </w:r>
    </w:p>
    <w:p w:rsidR="00304F26" w:rsidRPr="00525A43" w:rsidRDefault="00304F26" w:rsidP="00D75E9A">
      <w:pPr>
        <w:jc w:val="both"/>
        <w:rPr>
          <w:rStyle w:val="Kiemels2"/>
          <w:b w:val="0"/>
        </w:rPr>
      </w:pPr>
    </w:p>
    <w:p w:rsidR="00304F26" w:rsidRPr="00525A43" w:rsidRDefault="00304F26" w:rsidP="00D75E9A">
      <w:pPr>
        <w:jc w:val="both"/>
      </w:pPr>
      <w:r w:rsidRPr="00525A43">
        <w:rPr>
          <w:rStyle w:val="Kiemels2"/>
          <w:b w:val="0"/>
        </w:rPr>
        <w:t xml:space="preserve">A tervezet törölni kívánja a jelenleg hatályos Btv. </w:t>
      </w:r>
      <w:r w:rsidRPr="00525A43">
        <w:t>6. § d. pontját :</w:t>
      </w:r>
    </w:p>
    <w:p w:rsidR="00304F26" w:rsidRPr="00525A43" w:rsidRDefault="00304F26" w:rsidP="00D75E9A">
      <w:pPr>
        <w:jc w:val="both"/>
        <w:rPr>
          <w:rStyle w:val="Kiemels2"/>
          <w:b w:val="0"/>
          <w:i/>
        </w:rPr>
      </w:pPr>
      <w:r w:rsidRPr="00525A43">
        <w:rPr>
          <w:i/>
        </w:rPr>
        <w:t>„</w:t>
      </w:r>
      <w:r w:rsidRPr="00525A43">
        <w:rPr>
          <w:rFonts w:ascii="Times" w:hAnsi="Times" w:cs="Times"/>
          <w:i/>
          <w:iCs/>
          <w:color w:val="000000"/>
        </w:rPr>
        <w:t>d)</w:t>
      </w:r>
      <w:bookmarkStart w:id="1" w:name="foot_21_place"/>
      <w:bookmarkEnd w:id="1"/>
      <w:r w:rsidRPr="00525A43">
        <w:rPr>
          <w:rStyle w:val="apple-converted-space"/>
          <w:rFonts w:ascii="Times" w:hAnsi="Times" w:cs="Times"/>
          <w:i/>
          <w:color w:val="000000"/>
        </w:rPr>
        <w:t> </w:t>
      </w:r>
      <w:r w:rsidRPr="00525A43">
        <w:rPr>
          <w:rFonts w:ascii="Times" w:hAnsi="Times" w:cs="Times"/>
          <w:i/>
          <w:color w:val="000000"/>
        </w:rPr>
        <w:t>ingatlan tulajdonjogát kizárólag a Magyar Állam és helyi önkormányzat szerezheti meg közfeladat ellátása céljából;”</w:t>
      </w:r>
    </w:p>
    <w:p w:rsidR="00304F26" w:rsidRPr="00525A43" w:rsidRDefault="00304F26" w:rsidP="00D75E9A">
      <w:pPr>
        <w:jc w:val="both"/>
        <w:rPr>
          <w:rStyle w:val="Kiemels2"/>
          <w:b w:val="0"/>
        </w:rPr>
      </w:pPr>
      <w:r w:rsidRPr="00525A43">
        <w:rPr>
          <w:rStyle w:val="Kiemels2"/>
          <w:b w:val="0"/>
        </w:rPr>
        <w:t>Ez lehetővé tenné, hogy a vízparti zöldterületek magánkézbe kerüljenek, ami ellentétes a zöldterület funkciójának megőrzésével, így javasoljuk az eredeti tartalmat megőrizni.</w:t>
      </w:r>
    </w:p>
    <w:p w:rsidR="00304F26" w:rsidRPr="00525A43" w:rsidRDefault="00304F26" w:rsidP="00D75E9A">
      <w:pPr>
        <w:jc w:val="both"/>
        <w:rPr>
          <w:rStyle w:val="Kiemels2"/>
          <w:b w:val="0"/>
        </w:rPr>
      </w:pPr>
    </w:p>
    <w:p w:rsidR="00F8597C" w:rsidRPr="000B0105" w:rsidRDefault="00F8597C" w:rsidP="00F8597C">
      <w:pPr>
        <w:jc w:val="both"/>
        <w:rPr>
          <w:szCs w:val="24"/>
        </w:rPr>
      </w:pPr>
      <w:r w:rsidRPr="000B0105">
        <w:rPr>
          <w:szCs w:val="24"/>
        </w:rPr>
        <w:t>A jelen előterjesztés 1.2.4 pontjában megfogalmazott célok elérését szolgálná, ha a B</w:t>
      </w:r>
      <w:r w:rsidR="00C804F7" w:rsidRPr="000B0105">
        <w:rPr>
          <w:szCs w:val="24"/>
        </w:rPr>
        <w:t xml:space="preserve">tv. </w:t>
      </w:r>
      <w:r w:rsidRPr="000B0105">
        <w:rPr>
          <w:szCs w:val="24"/>
        </w:rPr>
        <w:t>4/C. § (2) h) alpontjába visszakerülne "</w:t>
      </w:r>
      <w:r w:rsidRPr="000B0105">
        <w:rPr>
          <w:b/>
          <w:bCs/>
          <w:szCs w:val="24"/>
        </w:rPr>
        <w:t>a természetes növényzet megtartásának figyelembevételével"</w:t>
      </w:r>
      <w:r w:rsidRPr="000B0105">
        <w:rPr>
          <w:szCs w:val="24"/>
        </w:rPr>
        <w:t xml:space="preserve"> </w:t>
      </w:r>
      <w:r w:rsidRPr="000B0105">
        <w:rPr>
          <w:szCs w:val="24"/>
        </w:rPr>
        <w:lastRenderedPageBreak/>
        <w:t>szövegrész, melyet egy korábbi törvénymódosítás során hagytak ki a törvény 2000-ben elfogadott szövegéből. A javasolt módosítással:</w:t>
      </w:r>
    </w:p>
    <w:p w:rsidR="00F8597C" w:rsidRPr="000B0105" w:rsidRDefault="00F8597C" w:rsidP="00F8597C">
      <w:pPr>
        <w:jc w:val="both"/>
        <w:rPr>
          <w:szCs w:val="24"/>
        </w:rPr>
      </w:pPr>
      <w:r w:rsidRPr="000B0105">
        <w:rPr>
          <w:szCs w:val="24"/>
        </w:rPr>
        <w:t> </w:t>
      </w:r>
      <w:r w:rsidRPr="000B0105">
        <w:rPr>
          <w:i/>
          <w:szCs w:val="24"/>
        </w:rPr>
        <w:t xml:space="preserve">4/C. § (2) </w:t>
      </w:r>
      <w:r w:rsidRPr="000B0105">
        <w:rPr>
          <w:i/>
          <w:iCs/>
          <w:szCs w:val="24"/>
        </w:rPr>
        <w:t>h)</w:t>
      </w:r>
      <w:r w:rsidRPr="000B0105">
        <w:rPr>
          <w:i/>
          <w:szCs w:val="24"/>
        </w:rPr>
        <w:t xml:space="preserve"> a vitorláskikötő-hálózat bővítése a vízpart-rehabilitációs tanulmánytervek, első felülvizsgálatukat követően a partvonal-szabályozási és vízpart-rehabilitációs tervek alapján, </w:t>
      </w:r>
      <w:r w:rsidRPr="000B0105">
        <w:rPr>
          <w:b/>
          <w:bCs/>
          <w:i/>
          <w:szCs w:val="24"/>
        </w:rPr>
        <w:t>a természetes növényzet megtartásának figyelembevételével</w:t>
      </w:r>
      <w:r w:rsidRPr="000B0105">
        <w:rPr>
          <w:i/>
          <w:szCs w:val="24"/>
        </w:rPr>
        <w:t xml:space="preserve"> történhet</w:t>
      </w:r>
      <w:r w:rsidRPr="000B0105">
        <w:rPr>
          <w:szCs w:val="24"/>
        </w:rPr>
        <w:t>;</w:t>
      </w:r>
    </w:p>
    <w:p w:rsidR="00F8597C" w:rsidRPr="00F8597C" w:rsidRDefault="00F8597C" w:rsidP="00F8597C">
      <w:pPr>
        <w:jc w:val="both"/>
        <w:rPr>
          <w:szCs w:val="24"/>
        </w:rPr>
      </w:pPr>
      <w:r w:rsidRPr="000B0105">
        <w:rPr>
          <w:szCs w:val="24"/>
        </w:rPr>
        <w:t>Javaslatunk indokolásaként hivatkozunk a 2006 decemberében készült SKV-ra, amely a szövegrész kihagyása ellen érvelt.</w:t>
      </w:r>
    </w:p>
    <w:p w:rsidR="00F719F8" w:rsidRPr="00525A43" w:rsidRDefault="00F719F8" w:rsidP="00D75E9A">
      <w:pPr>
        <w:jc w:val="both"/>
        <w:rPr>
          <w:szCs w:val="24"/>
        </w:rPr>
      </w:pPr>
    </w:p>
    <w:p w:rsidR="000423D6" w:rsidRPr="00A4383E" w:rsidRDefault="00F8597C" w:rsidP="00D75E9A">
      <w:pPr>
        <w:jc w:val="both"/>
        <w:rPr>
          <w:sz w:val="23"/>
          <w:szCs w:val="23"/>
        </w:rPr>
      </w:pPr>
      <w:r>
        <w:rPr>
          <w:sz w:val="23"/>
          <w:szCs w:val="23"/>
        </w:rPr>
        <w:t>2013. február 28</w:t>
      </w:r>
      <w:r w:rsidR="006E4514">
        <w:rPr>
          <w:sz w:val="23"/>
          <w:szCs w:val="23"/>
        </w:rPr>
        <w:t>.</w:t>
      </w:r>
    </w:p>
    <w:sectPr w:rsidR="000423D6" w:rsidRPr="00A4383E" w:rsidSect="00A438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C05" w:rsidRDefault="00304C05">
      <w:r>
        <w:separator/>
      </w:r>
    </w:p>
  </w:endnote>
  <w:endnote w:type="continuationSeparator" w:id="0">
    <w:p w:rsidR="00304C05" w:rsidRDefault="0030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21" w:rsidRDefault="00D33B2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67" w:rsidRDefault="00820B67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</w:p>
  <w:p w:rsidR="00820B67" w:rsidRDefault="007C6234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1055</w:t>
    </w:r>
    <w:r w:rsidR="00820B67">
      <w:rPr>
        <w:rFonts w:ascii="Clarendon Condensed" w:hAnsi="Clarendon Condensed"/>
        <w:spacing w:val="40"/>
        <w:sz w:val="20"/>
      </w:rPr>
      <w:t xml:space="preserve"> Budapest, </w:t>
    </w:r>
    <w:r>
      <w:rPr>
        <w:rFonts w:ascii="Clarendon Condensed" w:hAnsi="Clarendon Condensed"/>
        <w:spacing w:val="40"/>
        <w:sz w:val="20"/>
      </w:rPr>
      <w:t>Kossuth tér 11.</w:t>
    </w:r>
  </w:p>
  <w:p w:rsidR="00820B67" w:rsidRDefault="007C6234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1860 Bp.</w:t>
    </w:r>
  </w:p>
  <w:p w:rsidR="00820B67" w:rsidRDefault="00820B67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Telefon: </w:t>
    </w:r>
    <w:r w:rsidR="007C6234">
      <w:rPr>
        <w:rFonts w:ascii="Clarendon Condensed" w:hAnsi="Clarendon Condensed"/>
        <w:spacing w:val="40"/>
        <w:sz w:val="20"/>
      </w:rPr>
      <w:t>1 – 79 51 063</w:t>
    </w:r>
    <w:r>
      <w:rPr>
        <w:rFonts w:ascii="Clarendon Condensed" w:hAnsi="Clarendon Condensed"/>
        <w:spacing w:val="40"/>
        <w:sz w:val="20"/>
      </w:rPr>
      <w:t xml:space="preserve">; </w:t>
    </w:r>
    <w:r w:rsidR="007C6234">
      <w:rPr>
        <w:rFonts w:ascii="Clarendon Condensed" w:hAnsi="Clarendon Condensed"/>
        <w:spacing w:val="40"/>
        <w:sz w:val="20"/>
      </w:rPr>
      <w:t>1 – 79 53 699</w:t>
    </w:r>
    <w:r>
      <w:rPr>
        <w:rFonts w:ascii="Clarendon Condensed" w:hAnsi="Clarendon Condensed"/>
        <w:spacing w:val="40"/>
        <w:sz w:val="20"/>
      </w:rPr>
      <w:t xml:space="preserve">. Fax: </w:t>
    </w:r>
    <w:r w:rsidR="007C6234">
      <w:rPr>
        <w:rFonts w:ascii="Clarendon Condensed" w:hAnsi="Clarendon Condensed"/>
        <w:spacing w:val="40"/>
        <w:sz w:val="20"/>
      </w:rPr>
      <w:t>1 – 79 50 429</w:t>
    </w:r>
  </w:p>
  <w:p w:rsidR="00820B67" w:rsidRDefault="00820B67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 w:rsidRPr="00ED4122">
        <w:rPr>
          <w:rStyle w:val="Hiperhivatkozs"/>
          <w:rFonts w:ascii="Clarendon Condensed" w:hAnsi="Clarendon Condensed"/>
          <w:spacing w:val="40"/>
          <w:sz w:val="20"/>
        </w:rPr>
        <w:t>okttitk@vm.gov.hu</w:t>
      </w:r>
    </w:hyperlink>
  </w:p>
  <w:p w:rsidR="00820B67" w:rsidRDefault="00820B67" w:rsidP="00F77403">
    <w:pPr>
      <w:pStyle w:val="llb"/>
      <w:jc w:val="center"/>
      <w:rPr>
        <w:rFonts w:ascii="Clarendon Condensed" w:hAnsi="Clarendon Condensed"/>
        <w:color w:val="FF0000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www.oktt.hu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21" w:rsidRDefault="00D33B2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C05" w:rsidRDefault="00304C05">
      <w:r>
        <w:separator/>
      </w:r>
    </w:p>
  </w:footnote>
  <w:footnote w:type="continuationSeparator" w:id="0">
    <w:p w:rsidR="00304C05" w:rsidRDefault="00304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21" w:rsidRDefault="00D33B2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67" w:rsidRDefault="00820B67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8pt;height:80.5pt" o:ole="">
          <v:imagedata r:id="rId1" o:title=""/>
        </v:shape>
        <o:OLEObject Type="Embed" ProgID="MSPhotoEd.3" ShapeID="_x0000_i1025" DrawAspect="Content" ObjectID="_1442238427" r:id="rId2"/>
      </w:object>
    </w:r>
  </w:p>
  <w:p w:rsidR="00820B67" w:rsidRDefault="00820B67">
    <w:pPr>
      <w:pStyle w:val="lfej"/>
      <w:jc w:val="center"/>
      <w:rPr>
        <w:rFonts w:ascii="Clarendon Condensed" w:hAnsi="Clarendon Condense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21" w:rsidRDefault="00D33B2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4C9E"/>
    <w:multiLevelType w:val="hybridMultilevel"/>
    <w:tmpl w:val="48102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F1305FD"/>
    <w:multiLevelType w:val="hybridMultilevel"/>
    <w:tmpl w:val="C6346C74"/>
    <w:lvl w:ilvl="0" w:tplc="240420C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7F6"/>
    <w:rsid w:val="0003417F"/>
    <w:rsid w:val="000423D6"/>
    <w:rsid w:val="00075591"/>
    <w:rsid w:val="00080183"/>
    <w:rsid w:val="000A5E71"/>
    <w:rsid w:val="000A6D82"/>
    <w:rsid w:val="000B0105"/>
    <w:rsid w:val="000D7677"/>
    <w:rsid w:val="000E2C5B"/>
    <w:rsid w:val="000F2CC9"/>
    <w:rsid w:val="000F646D"/>
    <w:rsid w:val="001B1053"/>
    <w:rsid w:val="001C24E0"/>
    <w:rsid w:val="001D2AC7"/>
    <w:rsid w:val="001E05B6"/>
    <w:rsid w:val="001F0D40"/>
    <w:rsid w:val="00214B29"/>
    <w:rsid w:val="00221634"/>
    <w:rsid w:val="00230A6F"/>
    <w:rsid w:val="00275BF2"/>
    <w:rsid w:val="00285CAB"/>
    <w:rsid w:val="002A531F"/>
    <w:rsid w:val="002B4390"/>
    <w:rsid w:val="002E2ADE"/>
    <w:rsid w:val="002F5B0E"/>
    <w:rsid w:val="00300EFF"/>
    <w:rsid w:val="00304C05"/>
    <w:rsid w:val="00304F26"/>
    <w:rsid w:val="00323932"/>
    <w:rsid w:val="003425B7"/>
    <w:rsid w:val="00362E2F"/>
    <w:rsid w:val="00396B6C"/>
    <w:rsid w:val="003B46F7"/>
    <w:rsid w:val="00431BB3"/>
    <w:rsid w:val="00464E1B"/>
    <w:rsid w:val="00473821"/>
    <w:rsid w:val="00496653"/>
    <w:rsid w:val="004E3049"/>
    <w:rsid w:val="004F1BA5"/>
    <w:rsid w:val="004F2071"/>
    <w:rsid w:val="004F2EA4"/>
    <w:rsid w:val="00520010"/>
    <w:rsid w:val="00525A43"/>
    <w:rsid w:val="00525A56"/>
    <w:rsid w:val="00563552"/>
    <w:rsid w:val="00563632"/>
    <w:rsid w:val="00585762"/>
    <w:rsid w:val="005875AD"/>
    <w:rsid w:val="00594008"/>
    <w:rsid w:val="00597A62"/>
    <w:rsid w:val="005A2044"/>
    <w:rsid w:val="005B6A72"/>
    <w:rsid w:val="005C5036"/>
    <w:rsid w:val="005E7DC8"/>
    <w:rsid w:val="00603E26"/>
    <w:rsid w:val="006262B6"/>
    <w:rsid w:val="0065074F"/>
    <w:rsid w:val="0068769F"/>
    <w:rsid w:val="006A559A"/>
    <w:rsid w:val="006C6867"/>
    <w:rsid w:val="006D6CBB"/>
    <w:rsid w:val="006E0C38"/>
    <w:rsid w:val="006E4514"/>
    <w:rsid w:val="007067D6"/>
    <w:rsid w:val="00713E5A"/>
    <w:rsid w:val="007359FE"/>
    <w:rsid w:val="007428D9"/>
    <w:rsid w:val="00796B93"/>
    <w:rsid w:val="007B0C42"/>
    <w:rsid w:val="007C6234"/>
    <w:rsid w:val="007E6C04"/>
    <w:rsid w:val="007F06CF"/>
    <w:rsid w:val="007F11DC"/>
    <w:rsid w:val="00820B67"/>
    <w:rsid w:val="0082742C"/>
    <w:rsid w:val="008401CE"/>
    <w:rsid w:val="00846191"/>
    <w:rsid w:val="0084769C"/>
    <w:rsid w:val="00875EDC"/>
    <w:rsid w:val="008F2494"/>
    <w:rsid w:val="00900077"/>
    <w:rsid w:val="009429E8"/>
    <w:rsid w:val="00956494"/>
    <w:rsid w:val="00960BC4"/>
    <w:rsid w:val="00967347"/>
    <w:rsid w:val="00A11588"/>
    <w:rsid w:val="00A20D14"/>
    <w:rsid w:val="00A4383E"/>
    <w:rsid w:val="00A80A4C"/>
    <w:rsid w:val="00A812AF"/>
    <w:rsid w:val="00A819ED"/>
    <w:rsid w:val="00A83DBE"/>
    <w:rsid w:val="00AA6125"/>
    <w:rsid w:val="00AB643C"/>
    <w:rsid w:val="00AF06F5"/>
    <w:rsid w:val="00B02F68"/>
    <w:rsid w:val="00B314B5"/>
    <w:rsid w:val="00B4658C"/>
    <w:rsid w:val="00B72F9E"/>
    <w:rsid w:val="00BA6EDA"/>
    <w:rsid w:val="00BB22C8"/>
    <w:rsid w:val="00BC2BCD"/>
    <w:rsid w:val="00BE6548"/>
    <w:rsid w:val="00C804F7"/>
    <w:rsid w:val="00D141BB"/>
    <w:rsid w:val="00D326FC"/>
    <w:rsid w:val="00D33B21"/>
    <w:rsid w:val="00D75E9A"/>
    <w:rsid w:val="00DC2A55"/>
    <w:rsid w:val="00DC2CC4"/>
    <w:rsid w:val="00DE3B4E"/>
    <w:rsid w:val="00E548E1"/>
    <w:rsid w:val="00E56A74"/>
    <w:rsid w:val="00E76039"/>
    <w:rsid w:val="00E81F3D"/>
    <w:rsid w:val="00E90C58"/>
    <w:rsid w:val="00EC3052"/>
    <w:rsid w:val="00EE38C9"/>
    <w:rsid w:val="00EF46C2"/>
    <w:rsid w:val="00F03D4D"/>
    <w:rsid w:val="00F54FE4"/>
    <w:rsid w:val="00F62AFB"/>
    <w:rsid w:val="00F719F8"/>
    <w:rsid w:val="00F77403"/>
    <w:rsid w:val="00F8597C"/>
    <w:rsid w:val="00F937F6"/>
    <w:rsid w:val="00FA6B6D"/>
    <w:rsid w:val="00FB3E0B"/>
    <w:rsid w:val="00FD4837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54FE4"/>
    <w:rPr>
      <w:sz w:val="24"/>
    </w:rPr>
  </w:style>
  <w:style w:type="paragraph" w:styleId="Cmsor1">
    <w:name w:val="heading 1"/>
    <w:basedOn w:val="Norml"/>
    <w:next w:val="Norml"/>
    <w:qFormat/>
    <w:rsid w:val="00F54FE4"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basedOn w:val="Norml"/>
    <w:next w:val="Norml"/>
    <w:qFormat/>
    <w:rsid w:val="00F54FE4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54FE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54FE4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54FE4"/>
    <w:rPr>
      <w:sz w:val="28"/>
    </w:rPr>
  </w:style>
  <w:style w:type="paragraph" w:styleId="Szvegtrzs2">
    <w:name w:val="Body Text 2"/>
    <w:basedOn w:val="Norml"/>
    <w:rsid w:val="00F54FE4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rsid w:val="00B72F9E"/>
    <w:rPr>
      <w:color w:val="0000FF"/>
      <w:u w:val="single"/>
    </w:rPr>
  </w:style>
  <w:style w:type="character" w:styleId="Jegyzethivatkozs">
    <w:name w:val="annotation reference"/>
    <w:semiHidden/>
    <w:rsid w:val="006D6CBB"/>
    <w:rPr>
      <w:sz w:val="16"/>
      <w:szCs w:val="16"/>
    </w:rPr>
  </w:style>
  <w:style w:type="paragraph" w:styleId="Jegyzetszveg">
    <w:name w:val="annotation text"/>
    <w:basedOn w:val="Norml"/>
    <w:semiHidden/>
    <w:rsid w:val="006D6CBB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6D6CBB"/>
    <w:rPr>
      <w:b/>
      <w:bCs/>
    </w:rPr>
  </w:style>
  <w:style w:type="paragraph" w:styleId="Lbjegyzetszveg">
    <w:name w:val="footnote text"/>
    <w:basedOn w:val="Norml"/>
    <w:link w:val="LbjegyzetszvegChar"/>
    <w:rsid w:val="005B6A7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5B6A72"/>
  </w:style>
  <w:style w:type="character" w:styleId="Lbjegyzet-hivatkozs">
    <w:name w:val="footnote reference"/>
    <w:rsid w:val="005B6A72"/>
    <w:rPr>
      <w:vertAlign w:val="superscript"/>
    </w:rPr>
  </w:style>
  <w:style w:type="paragraph" w:styleId="NormlWeb">
    <w:name w:val="Normal (Web)"/>
    <w:basedOn w:val="Norml"/>
    <w:rsid w:val="00713E5A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Kiemels2">
    <w:name w:val="Strong"/>
    <w:uiPriority w:val="22"/>
    <w:qFormat/>
    <w:rsid w:val="00304F26"/>
    <w:rPr>
      <w:b/>
      <w:bCs/>
    </w:rPr>
  </w:style>
  <w:style w:type="character" w:customStyle="1" w:styleId="apple-converted-space">
    <w:name w:val="apple-converted-space"/>
    <w:basedOn w:val="Bekezdsalapbettpusa"/>
    <w:rsid w:val="00304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02F86-E2D4-46B4-9441-6698D0F7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ŐRI István</vt:lpstr>
    </vt:vector>
  </TitlesOfParts>
  <Company>Környezetvédelmi Minisztérium</Company>
  <LinksUpToDate>false</LinksUpToDate>
  <CharactersWithSpaces>3476</CharactersWithSpaces>
  <SharedDoc>false</SharedDoc>
  <HLinks>
    <vt:vector size="12" baseType="variant">
      <vt:variant>
        <vt:i4>7471152</vt:i4>
      </vt:variant>
      <vt:variant>
        <vt:i4>0</vt:i4>
      </vt:variant>
      <vt:variant>
        <vt:i4>0</vt:i4>
      </vt:variant>
      <vt:variant>
        <vt:i4>5</vt:i4>
      </vt:variant>
      <vt:variant>
        <vt:lpwstr>http://www.ippc.hu/hazai_bat_utmutatok.htm</vt:lpwstr>
      </vt:variant>
      <vt:variant>
        <vt:lpwstr/>
      </vt:variant>
      <vt:variant>
        <vt:i4>1507445</vt:i4>
      </vt:variant>
      <vt:variant>
        <vt:i4>3</vt:i4>
      </vt:variant>
      <vt:variant>
        <vt:i4>0</vt:i4>
      </vt:variant>
      <vt:variant>
        <vt:i4>5</vt:i4>
      </vt:variant>
      <vt:variant>
        <vt:lpwstr>mailto:okttitk@vm.gov.hu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Állásfoglalás</dc:title>
  <dc:creator>Bulla Mikós, Dr.</dc:creator>
  <cp:lastModifiedBy>LakatosL</cp:lastModifiedBy>
  <cp:revision>2</cp:revision>
  <cp:lastPrinted>2012-03-05T09:52:00Z</cp:lastPrinted>
  <dcterms:created xsi:type="dcterms:W3CDTF">2013-10-02T15:01:00Z</dcterms:created>
  <dcterms:modified xsi:type="dcterms:W3CDTF">2013-10-02T15:01:00Z</dcterms:modified>
</cp:coreProperties>
</file>