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62" w:rsidRPr="00FB5C90" w:rsidRDefault="00C92425" w:rsidP="0091098E">
      <w:pPr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Az OKT állásf</w:t>
      </w:r>
      <w:r w:rsidR="00134C62">
        <w:rPr>
          <w:b/>
          <w:sz w:val="28"/>
          <w:szCs w:val="28"/>
        </w:rPr>
        <w:t xml:space="preserve">oglalása </w:t>
      </w:r>
      <w:r w:rsidR="00B718E9" w:rsidRPr="00FB5C90">
        <w:rPr>
          <w:b/>
          <w:sz w:val="28"/>
          <w:szCs w:val="28"/>
        </w:rPr>
        <w:t xml:space="preserve">a </w:t>
      </w:r>
      <w:proofErr w:type="spellStart"/>
      <w:r w:rsidR="00134C62" w:rsidRPr="00FB5C90">
        <w:rPr>
          <w:b/>
          <w:sz w:val="28"/>
          <w:szCs w:val="28"/>
        </w:rPr>
        <w:t>Kvassay</w:t>
      </w:r>
      <w:proofErr w:type="spellEnd"/>
      <w:r w:rsidR="00134C62" w:rsidRPr="00FB5C90">
        <w:rPr>
          <w:b/>
          <w:sz w:val="28"/>
          <w:szCs w:val="28"/>
        </w:rPr>
        <w:t xml:space="preserve"> Jenő Terv – Nemzeti Vízstratégia című dokumentum</w:t>
      </w:r>
      <w:r>
        <w:rPr>
          <w:b/>
          <w:sz w:val="28"/>
          <w:szCs w:val="28"/>
        </w:rPr>
        <w:t>ról</w:t>
      </w:r>
      <w:r w:rsidR="00134C62" w:rsidRPr="00FB5C90">
        <w:rPr>
          <w:b/>
          <w:sz w:val="28"/>
          <w:szCs w:val="28"/>
        </w:rPr>
        <w:t xml:space="preserve">, illetve </w:t>
      </w:r>
      <w:r>
        <w:rPr>
          <w:b/>
          <w:sz w:val="28"/>
          <w:szCs w:val="28"/>
        </w:rPr>
        <w:t>annak</w:t>
      </w:r>
      <w:r w:rsidR="00134C62" w:rsidRPr="00FB5C90">
        <w:rPr>
          <w:b/>
          <w:sz w:val="28"/>
          <w:szCs w:val="28"/>
        </w:rPr>
        <w:t xml:space="preserve"> Stratégiai Környezeti Vizsgálatáról</w:t>
      </w:r>
    </w:p>
    <w:p w:rsidR="00A0056C" w:rsidRPr="003C4893" w:rsidRDefault="00A0056C" w:rsidP="003C4893">
      <w:pPr>
        <w:spacing w:line="276" w:lineRule="auto"/>
        <w:jc w:val="both"/>
        <w:rPr>
          <w:b/>
        </w:rPr>
      </w:pPr>
    </w:p>
    <w:p w:rsidR="00A0056C" w:rsidRDefault="00BA4801" w:rsidP="00201EC5">
      <w:pPr>
        <w:jc w:val="both"/>
      </w:pPr>
      <w:r>
        <w:t xml:space="preserve">Az Országos Környezetvédelmi Tanács már a </w:t>
      </w:r>
      <w:r w:rsidR="00B42B2C">
        <w:t>Nemzeti Vízstratégia készítés</w:t>
      </w:r>
      <w:r w:rsidR="004E5E63">
        <w:t>ének elkezdése</w:t>
      </w:r>
      <w:r w:rsidR="00B42B2C">
        <w:t xml:space="preserve"> idején</w:t>
      </w:r>
      <w:r w:rsidR="004E5E63">
        <w:t>,</w:t>
      </w:r>
      <w:r w:rsidR="00B42B2C">
        <w:t xml:space="preserve"> 2013-tól kezdve</w:t>
      </w:r>
      <w:r w:rsidR="004E5E63">
        <w:t>,</w:t>
      </w:r>
      <w:r w:rsidR="00B42B2C">
        <w:t xml:space="preserve"> alapvető </w:t>
      </w:r>
      <w:r w:rsidR="00E73769">
        <w:t xml:space="preserve">szakmai rendező elvként </w:t>
      </w:r>
      <w:r w:rsidR="00B42B2C">
        <w:t xml:space="preserve">hangsúlyozta és javasolta a </w:t>
      </w:r>
      <w:proofErr w:type="spellStart"/>
      <w:r w:rsidR="00B42B2C">
        <w:t>m</w:t>
      </w:r>
      <w:r w:rsidR="0091098E">
        <w:t>ultidiszciplinaritás</w:t>
      </w:r>
      <w:proofErr w:type="spellEnd"/>
      <w:r w:rsidR="00B42B2C">
        <w:t xml:space="preserve"> </w:t>
      </w:r>
      <w:r w:rsidR="0043014A">
        <w:t>alkalmazását, szakágazati törekvésként pedig az integráló</w:t>
      </w:r>
      <w:r w:rsidR="004E5E63">
        <w:t>,</w:t>
      </w:r>
      <w:r w:rsidR="0043014A">
        <w:t xml:space="preserve"> ágazatközi megközelítést.</w:t>
      </w:r>
      <w:r w:rsidR="003E0BD8">
        <w:t xml:space="preserve"> </w:t>
      </w:r>
      <w:r w:rsidR="004E5E63">
        <w:t>Történt ez egyrészt</w:t>
      </w:r>
      <w:r w:rsidR="0043014A">
        <w:t xml:space="preserve"> azért, hogy elkerülhető legyen az, hogy a vízügyi ágazat egyedül maradjon olyan feladatok megoldásával, amelyek nem lehetségesek </w:t>
      </w:r>
      <w:r w:rsidR="004D5644">
        <w:t>kizárólag egy ágazat keretei közt</w:t>
      </w:r>
      <w:r w:rsidR="003E0BD8">
        <w:t>, másrészt</w:t>
      </w:r>
      <w:r w:rsidR="0043014A">
        <w:t xml:space="preserve"> azért is, hogy eleget tudjunk tenni az EU – VKI célkitűzések: a „jó víz”, pontosabban a felszíni és felszín</w:t>
      </w:r>
      <w:r w:rsidR="003E0BD8">
        <w:t xml:space="preserve"> alatti víztestek jó ökológiai </w:t>
      </w:r>
      <w:r w:rsidR="0043014A">
        <w:t xml:space="preserve">és kémiai állapota, de legalább a jó ökológiai potenciál </w:t>
      </w:r>
      <w:r w:rsidR="0043014A" w:rsidRPr="009A43B9">
        <w:t>megvalósításának.</w:t>
      </w:r>
    </w:p>
    <w:p w:rsidR="0043014A" w:rsidRDefault="0043014A" w:rsidP="00201EC5">
      <w:pPr>
        <w:jc w:val="both"/>
      </w:pPr>
    </w:p>
    <w:p w:rsidR="0043014A" w:rsidRDefault="0043014A" w:rsidP="00201EC5">
      <w:pPr>
        <w:jc w:val="both"/>
      </w:pPr>
      <w:proofErr w:type="gramStart"/>
      <w:r>
        <w:t>A VKI az Unió – talán – leginkább átfogó regionális környezetfejlesztési programja, amelynek megvalósítása akkor és úgy lehetséges, ha egy-egy régióban, azaz vízgyűjtőn</w:t>
      </w:r>
      <w:r w:rsidR="00E00CBD">
        <w:t>, illetve részvízgyűjtőn a társadalom kiszolgálása és boldogulása érdekében m</w:t>
      </w:r>
      <w:r w:rsidR="00612CA4">
        <w:t>űködtetett gazdasági folyamatok és</w:t>
      </w:r>
      <w:r w:rsidR="00E00CBD">
        <w:t xml:space="preserve"> az erre létrehozott in</w:t>
      </w:r>
      <w:r w:rsidR="00FB5C90">
        <w:t>tézmények komplex</w:t>
      </w:r>
      <w:r w:rsidR="003E0BD8">
        <w:t>, koordinált</w:t>
      </w:r>
      <w:r w:rsidR="00FB5C90">
        <w:t xml:space="preserve"> együttműködésének</w:t>
      </w:r>
      <w:r w:rsidR="00E00CBD">
        <w:t xml:space="preserve"> </w:t>
      </w:r>
      <w:r w:rsidR="00FB5C90">
        <w:t>köszönhetően</w:t>
      </w:r>
      <w:r w:rsidR="00E00CBD">
        <w:t xml:space="preserve"> kialakuló kedvező szinergiák eredményeképpen</w:t>
      </w:r>
      <w:r w:rsidR="00612CA4">
        <w:t>,</w:t>
      </w:r>
      <w:r w:rsidR="00E00CBD">
        <w:t xml:space="preserve"> az ökológiai- é</w:t>
      </w:r>
      <w:r w:rsidR="00FB5C90">
        <w:t xml:space="preserve">s ökonómiai rendszer </w:t>
      </w:r>
      <w:r w:rsidR="00E00CBD">
        <w:t>fenntartható(</w:t>
      </w:r>
      <w:proofErr w:type="spellStart"/>
      <w:r w:rsidR="00E00CBD">
        <w:t>vá</w:t>
      </w:r>
      <w:proofErr w:type="spellEnd"/>
      <w:r w:rsidR="00E00CBD">
        <w:t xml:space="preserve"> válik); és ennek a helyzetnek az összegző indikátora: a „jó víz”.</w:t>
      </w:r>
      <w:proofErr w:type="gramEnd"/>
    </w:p>
    <w:p w:rsidR="00E00CBD" w:rsidRDefault="003E0BD8" w:rsidP="00201EC5">
      <w:pPr>
        <w:jc w:val="both"/>
      </w:pPr>
      <w:r>
        <w:t>Ezen célok megvalósításához</w:t>
      </w:r>
      <w:r w:rsidR="00E00CBD">
        <w:t xml:space="preserve"> olyan „szakstratégia” szükséges, amelynek az a sajátossága, </w:t>
      </w:r>
      <w:r>
        <w:t>hogy</w:t>
      </w:r>
      <w:r w:rsidR="00E00CBD">
        <w:t xml:space="preserve"> eszközre</w:t>
      </w:r>
      <w:r w:rsidR="00A77FA2">
        <w:t>n</w:t>
      </w:r>
      <w:r w:rsidR="00E00CBD">
        <w:t>dszere</w:t>
      </w:r>
      <w:r>
        <w:t>iben</w:t>
      </w:r>
      <w:r w:rsidR="00E00CBD">
        <w:t xml:space="preserve"> </w:t>
      </w:r>
      <w:r w:rsidR="00FB5C90">
        <w:t xml:space="preserve">az implementálási </w:t>
      </w:r>
      <w:r w:rsidR="00E00CBD">
        <w:t>programokat – ágazatközi módon is – integráló intézményfejlesztést és / sőt intézményi együttműködés-fejlesztést alkalmaz.</w:t>
      </w:r>
    </w:p>
    <w:p w:rsidR="00E00CBD" w:rsidRDefault="00E00CBD" w:rsidP="00201EC5">
      <w:pPr>
        <w:jc w:val="both"/>
      </w:pPr>
    </w:p>
    <w:p w:rsidR="00E00CBD" w:rsidRDefault="00E00CBD" w:rsidP="00201EC5">
      <w:pPr>
        <w:jc w:val="both"/>
      </w:pPr>
      <w:r>
        <w:t>Az Országos Környezetvédelmi Tanács elismeréssel állapítja meg, hogy a KJT mint keretstratégia, a fönt leírt irány</w:t>
      </w:r>
      <w:r w:rsidR="00A77FA2">
        <w:t>t</w:t>
      </w:r>
      <w:r>
        <w:t xml:space="preserve">, a horizontális </w:t>
      </w:r>
      <w:r w:rsidR="0003201B">
        <w:t xml:space="preserve">szempontok erőteljesebb érvényesülését tartalmazzák, </w:t>
      </w:r>
      <w:r w:rsidR="00E73769">
        <w:t>k</w:t>
      </w:r>
      <w:r w:rsidR="0003201B">
        <w:t>öszönhe</w:t>
      </w:r>
      <w:r w:rsidR="00FB5C90">
        <w:t xml:space="preserve">tően – nyilván annak is, hogy </w:t>
      </w:r>
      <w:r w:rsidR="00E73769">
        <w:t>a jogszabályi és szakmai szempontoknak megfelelő</w:t>
      </w:r>
      <w:r w:rsidR="0003201B">
        <w:t xml:space="preserve"> SKV</w:t>
      </w:r>
      <w:r w:rsidR="00612CA4">
        <w:t>-</w:t>
      </w:r>
      <w:r w:rsidR="00E73769">
        <w:t xml:space="preserve"> </w:t>
      </w:r>
      <w:r w:rsidR="0003201B">
        <w:t>elemzései, következtetései és javaslatai, a tervezés egész folyamat</w:t>
      </w:r>
      <w:r w:rsidR="00E73769">
        <w:t>á</w:t>
      </w:r>
      <w:r w:rsidR="0003201B">
        <w:t xml:space="preserve">ban </w:t>
      </w:r>
      <w:r w:rsidR="00A2109A">
        <w:t xml:space="preserve">be tudtak épülni a </w:t>
      </w:r>
      <w:r w:rsidR="00E73769">
        <w:t xml:space="preserve">Stratégia </w:t>
      </w:r>
      <w:r w:rsidR="00A2109A">
        <w:t>kidolgozásáb</w:t>
      </w:r>
      <w:r w:rsidR="00FB5C90">
        <w:t>a; a Tervezők és a véleményező S</w:t>
      </w:r>
      <w:r w:rsidR="00A2109A">
        <w:t xml:space="preserve">zakértők együttgondolkodása, sőt együttműködése meg tudott valósulni. A valódi előrelépés az lesz (lenne), ha ez a kooperációs igény és gyakorlat a tervezőkön túl a Döntéshozókig is </w:t>
      </w:r>
      <w:proofErr w:type="gramStart"/>
      <w:r w:rsidR="00A2109A">
        <w:t>eljut(</w:t>
      </w:r>
      <w:proofErr w:type="gramEnd"/>
      <w:r w:rsidR="00A2109A">
        <w:t>na)</w:t>
      </w:r>
      <w:r w:rsidR="00E73769">
        <w:t xml:space="preserve">, </w:t>
      </w:r>
      <w:proofErr w:type="gramStart"/>
      <w:r w:rsidR="00E73769">
        <w:t>amihez</w:t>
      </w:r>
      <w:proofErr w:type="gramEnd"/>
      <w:r w:rsidR="00E73769">
        <w:t xml:space="preserve"> alapvetően</w:t>
      </w:r>
      <w:r w:rsidR="00A2109A">
        <w:t xml:space="preserve"> szükséges </w:t>
      </w:r>
      <w:r w:rsidR="00E73769">
        <w:t>a kapcsolódó</w:t>
      </w:r>
      <w:r w:rsidR="00A2109A">
        <w:t xml:space="preserve"> intézmények együttműködés-fejlesztése</w:t>
      </w:r>
      <w:r w:rsidR="00E73769">
        <w:t xml:space="preserve"> is</w:t>
      </w:r>
      <w:r w:rsidR="00A2109A">
        <w:t>.</w:t>
      </w:r>
    </w:p>
    <w:p w:rsidR="00A2109A" w:rsidRDefault="00A2109A" w:rsidP="00201EC5">
      <w:pPr>
        <w:jc w:val="both"/>
      </w:pPr>
    </w:p>
    <w:p w:rsidR="005505B6" w:rsidRDefault="005505B6" w:rsidP="00201EC5">
      <w:pPr>
        <w:jc w:val="both"/>
      </w:pPr>
      <w:r>
        <w:t>Az intézményfejlesztés megvalósítandó mind a jogszabályalkotásban, mind pedig az ágazati programok kidolgozásában, továbbá a hatások</w:t>
      </w:r>
      <w:r w:rsidR="00CD4753">
        <w:t>,</w:t>
      </w:r>
      <w:r>
        <w:t xml:space="preserve"> a célkitűzések </w:t>
      </w:r>
      <w:proofErr w:type="gramStart"/>
      <w:r>
        <w:t>meg(</w:t>
      </w:r>
      <w:proofErr w:type="gramEnd"/>
      <w:r>
        <w:t>nem)valósulása nyomon követésében is.</w:t>
      </w:r>
    </w:p>
    <w:p w:rsidR="0059784F" w:rsidRDefault="0059784F" w:rsidP="00201EC5">
      <w:pPr>
        <w:jc w:val="both"/>
      </w:pPr>
      <w:r>
        <w:t xml:space="preserve">A </w:t>
      </w:r>
      <w:proofErr w:type="spellStart"/>
      <w:r>
        <w:t>real</w:t>
      </w:r>
      <w:r w:rsidR="005774FC">
        <w:t>time</w:t>
      </w:r>
      <w:proofErr w:type="spellEnd"/>
      <w:r w:rsidR="005774FC">
        <w:t xml:space="preserve">, illetve </w:t>
      </w:r>
      <w:r w:rsidR="00612CA4">
        <w:t xml:space="preserve">az </w:t>
      </w:r>
      <w:r w:rsidR="005774FC">
        <w:t xml:space="preserve">utólagos monitorozás mellett </w:t>
      </w:r>
      <w:r w:rsidR="00612CA4">
        <w:t>szükségesnek tartjuk</w:t>
      </w:r>
      <w:r w:rsidR="005774FC">
        <w:t xml:space="preserve"> </w:t>
      </w:r>
      <w:r w:rsidR="00CD4753">
        <w:t xml:space="preserve">általánosan alkalmazni </w:t>
      </w:r>
      <w:r w:rsidR="005774FC">
        <w:t>az előzetes hatásbecslések</w:t>
      </w:r>
      <w:r w:rsidR="00612CA4">
        <w:t>et</w:t>
      </w:r>
      <w:r w:rsidR="005774FC">
        <w:t xml:space="preserve">, az </w:t>
      </w:r>
      <w:proofErr w:type="gramStart"/>
      <w:r w:rsidR="005774FC">
        <w:t>ex</w:t>
      </w:r>
      <w:proofErr w:type="gramEnd"/>
      <w:r w:rsidR="005774FC">
        <w:t xml:space="preserve"> ante értékelések</w:t>
      </w:r>
      <w:r w:rsidR="00612CA4">
        <w:t xml:space="preserve">et és az elemzések </w:t>
      </w:r>
      <w:r w:rsidR="00CD4753">
        <w:t>eredményeit</w:t>
      </w:r>
      <w:r w:rsidR="005774FC">
        <w:t xml:space="preserve"> is.</w:t>
      </w:r>
      <w:r>
        <w:t xml:space="preserve"> </w:t>
      </w:r>
      <w:r w:rsidR="00612CA4">
        <w:t>Ez lehet az az eszköz, ami alapján</w:t>
      </w:r>
      <w:r w:rsidR="005774FC">
        <w:t xml:space="preserve"> </w:t>
      </w:r>
      <w:r w:rsidR="00612CA4">
        <w:t xml:space="preserve">a programokhoz </w:t>
      </w:r>
      <w:r w:rsidR="005774FC">
        <w:t xml:space="preserve">reális költségtervek </w:t>
      </w:r>
      <w:r w:rsidR="00612CA4">
        <w:t>készíthetők, amely</w:t>
      </w:r>
      <w:r w:rsidR="005774FC">
        <w:t xml:space="preserve"> a stratégiai </w:t>
      </w:r>
      <w:r w:rsidR="00A21A98">
        <w:t>tervezésnek „per definitionem” része, illetve követ</w:t>
      </w:r>
      <w:r>
        <w:t>el</w:t>
      </w:r>
      <w:r w:rsidR="00A21A98">
        <w:t xml:space="preserve">ménye. </w:t>
      </w:r>
    </w:p>
    <w:p w:rsidR="0059784F" w:rsidRDefault="0059784F" w:rsidP="00201EC5">
      <w:pPr>
        <w:jc w:val="both"/>
      </w:pPr>
    </w:p>
    <w:p w:rsidR="005774FC" w:rsidRDefault="00612CA4" w:rsidP="00201EC5">
      <w:pPr>
        <w:jc w:val="both"/>
      </w:pPr>
      <w:r>
        <w:lastRenderedPageBreak/>
        <w:t xml:space="preserve">Az OKT egyetért azzal és nagyon </w:t>
      </w:r>
      <w:r w:rsidR="00030B8E">
        <w:t>fontosnak tartja, hogy a</w:t>
      </w:r>
      <w:r w:rsidR="00A21A98">
        <w:t xml:space="preserve"> finanszírozás tervezése és </w:t>
      </w:r>
      <w:r w:rsidR="00030B8E">
        <w:t xml:space="preserve">pénzek </w:t>
      </w:r>
      <w:r w:rsidR="00A21A98">
        <w:t xml:space="preserve">biztosítása alapvető </w:t>
      </w:r>
      <w:r w:rsidR="00CD4753">
        <w:t>feltétel</w:t>
      </w:r>
      <w:r w:rsidR="00A21A98">
        <w:t>, egyrészt az állami és / vagy önkormányzati feladato</w:t>
      </w:r>
      <w:r w:rsidR="009A43B9">
        <w:t>k megvalósításáb</w:t>
      </w:r>
      <w:r w:rsidR="00A21A98">
        <w:t>a, másrészt a fejlesztési projektekbe építve. Célszerű</w:t>
      </w:r>
      <w:r w:rsidR="00030B8E">
        <w:t>nek tartanánk</w:t>
      </w:r>
      <w:r w:rsidR="00A21A98">
        <w:t xml:space="preserve"> „forrástérkép”</w:t>
      </w:r>
      <w:r w:rsidR="00406817">
        <w:t xml:space="preserve"> készítés</w:t>
      </w:r>
      <w:r w:rsidR="00030B8E">
        <w:t>ét</w:t>
      </w:r>
      <w:r w:rsidR="00406817">
        <w:t xml:space="preserve"> a hazai költségvetési igények és lehetőségek, valamint az EU Partnerségi Megállapodást megvalósító OP-k tekintetében egyaránt.</w:t>
      </w:r>
    </w:p>
    <w:p w:rsidR="0083726A" w:rsidRDefault="0083726A" w:rsidP="00201EC5">
      <w:pPr>
        <w:jc w:val="both"/>
      </w:pPr>
    </w:p>
    <w:p w:rsidR="0083726A" w:rsidRDefault="0083726A" w:rsidP="00201EC5">
      <w:pPr>
        <w:jc w:val="both"/>
      </w:pPr>
      <w:r>
        <w:t xml:space="preserve">Az OKT </w:t>
      </w:r>
      <w:r w:rsidR="00030B8E">
        <w:t xml:space="preserve">továbbra is hangsúlyozza és </w:t>
      </w:r>
      <w:r>
        <w:t>felhívja a Kormány figyelmét</w:t>
      </w:r>
      <w:r w:rsidR="00030B8E">
        <w:t xml:space="preserve"> arra</w:t>
      </w:r>
      <w:r>
        <w:t xml:space="preserve">, hogy a VGT2 </w:t>
      </w:r>
      <w:r w:rsidR="00030B8E">
        <w:t>dokumentumban</w:t>
      </w:r>
      <w:r>
        <w:t xml:space="preserve"> javasolt intézkedések finanszírozása nem kellően biztosított a KEHOP forrásainak felhasználására közzétett projektek listája </w:t>
      </w:r>
      <w:r w:rsidR="00030B8E">
        <w:t xml:space="preserve">és a </w:t>
      </w:r>
      <w:proofErr w:type="spellStart"/>
      <w:r w:rsidR="00030B8E">
        <w:t>KJT-ben</w:t>
      </w:r>
      <w:proofErr w:type="spellEnd"/>
      <w:r w:rsidR="00030B8E">
        <w:t xml:space="preserve"> szereplő elemzés </w:t>
      </w:r>
      <w:r>
        <w:t xml:space="preserve">alapján. A 2021 és 2027 közötti időszakban </w:t>
      </w:r>
      <w:r w:rsidR="00030B8E">
        <w:t>sem látunk sokkal több</w:t>
      </w:r>
      <w:r>
        <w:t xml:space="preserve"> </w:t>
      </w:r>
      <w:r w:rsidR="00030B8E">
        <w:t xml:space="preserve">pénzügyi fedezet </w:t>
      </w:r>
      <w:r>
        <w:t>lehetősége</w:t>
      </w:r>
      <w:r w:rsidR="00030B8E">
        <w:t>t</w:t>
      </w:r>
      <w:r>
        <w:t xml:space="preserve"> a VGT2-ben javasolt intézkedések végrehajtás</w:t>
      </w:r>
      <w:r w:rsidR="009A43B9">
        <w:t>ára és a célkitűzések elérésére,</w:t>
      </w:r>
      <w:r>
        <w:t xml:space="preserve"> ezért különösen fontos, hogy a KEHOP összes</w:t>
      </w:r>
      <w:r w:rsidR="00030B8E">
        <w:t>,</w:t>
      </w:r>
      <w:r>
        <w:t xml:space="preserve"> ehhez a témához kapcsolódó prioritási tengelyének projektjei tartalmazzanak VGT2 intézkedéseket, és a 201</w:t>
      </w:r>
      <w:r w:rsidR="00030B8E">
        <w:t>4</w:t>
      </w:r>
      <w:r>
        <w:t>-2</w:t>
      </w:r>
      <w:r w:rsidR="00030B8E">
        <w:t>020 között</w:t>
      </w:r>
      <w:r>
        <w:t>i időszak valamennyi lehetséges operatív program forrása adjon lehetőséget a horizontális szempontok figyelembe vétele révén a VGT2 célkitűzések elérésére. Ezeken a forrásokon kívül a Kormány a költségvetésben különítsen el keretet a VKI végrehajtására.</w:t>
      </w:r>
    </w:p>
    <w:p w:rsidR="0091098E" w:rsidRDefault="0091098E" w:rsidP="00201EC5">
      <w:pPr>
        <w:jc w:val="both"/>
      </w:pPr>
    </w:p>
    <w:p w:rsidR="0091098E" w:rsidRDefault="0091098E" w:rsidP="00201EC5">
      <w:pPr>
        <w:jc w:val="both"/>
      </w:pPr>
      <w:r w:rsidRPr="0091098E">
        <w:t xml:space="preserve">A </w:t>
      </w:r>
      <w:r w:rsidR="0024070D">
        <w:t xml:space="preserve">Stratégia megvalósításához szükséges </w:t>
      </w:r>
      <w:r w:rsidRPr="0091098E">
        <w:t xml:space="preserve">pénzügyi finanszírozás szűkössége és a fejlesztési igények nagy száma is indokolja a rendszer </w:t>
      </w:r>
      <w:proofErr w:type="spellStart"/>
      <w:r w:rsidRPr="0091098E">
        <w:t>optimalizációját</w:t>
      </w:r>
      <w:proofErr w:type="spellEnd"/>
      <w:r w:rsidRPr="0091098E">
        <w:t>, hatékonyságának növelését. Ennek egyik eszköze az, ha a finanszírozás és a fejlesztések egycélúságát a komplex tervezés és a többcélú finanszírozás irányába vezetjük (egy beruházással több probléma megoldása), a projektek előkészítettségét magasabb színvonalra emeljük, s ugyancsak magasabb színvonalat követelünk meg a megvalósítás minőségében is. Ehhez az irányvonalhoz hozzájárulhat még az egységes tervezési rendszer kidolgozása és a lépcsőzetes tervezés általánossá tétele is.</w:t>
      </w:r>
    </w:p>
    <w:p w:rsidR="0083726A" w:rsidRDefault="0083726A" w:rsidP="00201EC5">
      <w:pPr>
        <w:jc w:val="both"/>
      </w:pPr>
    </w:p>
    <w:p w:rsidR="0083726A" w:rsidRDefault="0083726A" w:rsidP="00201EC5">
      <w:pPr>
        <w:jc w:val="both"/>
      </w:pPr>
      <w:r>
        <w:t xml:space="preserve">A biztonságos finanszírozás mellett az intézményfejlesztés </w:t>
      </w:r>
      <w:r w:rsidR="0024070D">
        <w:t xml:space="preserve">másik igen </w:t>
      </w:r>
      <w:r>
        <w:t>fontos feladata a vízügyi tervek: KJT, VGT2, ÁKK</w:t>
      </w:r>
      <w:r w:rsidR="007C2515">
        <w:t xml:space="preserve"> „összehangolása” a területi tervezéssel, a területrendezési tervekkel, továbbá a területfejlesztési koncepciókkal, tervekkel, programokkal.</w:t>
      </w:r>
    </w:p>
    <w:p w:rsidR="009A43B9" w:rsidRDefault="009A43B9" w:rsidP="00201EC5">
      <w:pPr>
        <w:jc w:val="both"/>
      </w:pPr>
    </w:p>
    <w:p w:rsidR="007C2515" w:rsidRDefault="007C2515" w:rsidP="00201EC5">
      <w:pPr>
        <w:jc w:val="both"/>
      </w:pPr>
      <w:r>
        <w:t xml:space="preserve">Egy – csaknem – emberöltőre előretekintő vízgazdálkodási keretstratégia </w:t>
      </w:r>
      <w:r w:rsidR="0024070D">
        <w:t xml:space="preserve">és ebben a vizek jó állapotának - az </w:t>
      </w:r>
      <w:r>
        <w:t xml:space="preserve">indokolt társadalmi </w:t>
      </w:r>
      <w:r w:rsidR="0024070D">
        <w:t xml:space="preserve">és gazdasági </w:t>
      </w:r>
      <w:r>
        <w:t xml:space="preserve">igények </w:t>
      </w:r>
      <w:r w:rsidR="0024070D">
        <w:t>figyelembevétele mellett</w:t>
      </w:r>
      <w:r>
        <w:t xml:space="preserve"> </w:t>
      </w:r>
      <w:r w:rsidR="00870398">
        <w:t>– legalább</w:t>
      </w:r>
      <w:r w:rsidR="00CD4753">
        <w:t xml:space="preserve"> a</w:t>
      </w:r>
      <w:r w:rsidR="00870398">
        <w:t xml:space="preserve"> jó ökológiai potenciálnak az elérése / megtartása nem lehetséges a történetileg kialakult adottságokhoz alkalmazkodó tájhasználat nélkül és különösen nem annak ellenében. Ez egyszerre jelent „okos” mezőgazdálkodá</w:t>
      </w:r>
      <w:r w:rsidR="0024070D">
        <w:t>st, az árterületek lehetséges</w:t>
      </w:r>
      <w:r w:rsidR="002A1B26">
        <w:t>, tehát a kockázatokkal tudatosan számoló hasznosítását</w:t>
      </w:r>
      <w:r w:rsidR="0024070D">
        <w:t xml:space="preserve">, </w:t>
      </w:r>
      <w:r w:rsidR="002A1B26">
        <w:t>vízvisszatartást, amelyek jelentősége a klímaváltozás kistérségi következményeinek fokozódásával egyre nő.</w:t>
      </w:r>
      <w:r w:rsidR="006D46A6">
        <w:t xml:space="preserve"> A </w:t>
      </w:r>
      <w:proofErr w:type="spellStart"/>
      <w:r w:rsidR="006D46A6">
        <w:t>Natura</w:t>
      </w:r>
      <w:proofErr w:type="spellEnd"/>
      <w:r w:rsidR="006D46A6">
        <w:t xml:space="preserve"> 2000, valamint egyéb természetvédelmi előírások egyeztetésére jó javaslat valamely fórum megteremtése; a hatásköri ütközések feloldására pedig a környezet- és természetvédelemért-, valamint a vízgazdálkodás irányításáért felelős miniszterek együttes </w:t>
      </w:r>
      <w:r w:rsidR="006D46A6">
        <w:t>döntés</w:t>
      </w:r>
      <w:r w:rsidR="006D46A6">
        <w:t>é</w:t>
      </w:r>
      <w:r w:rsidR="006D46A6">
        <w:t>t</w:t>
      </w:r>
      <w:r w:rsidR="006D46A6">
        <w:t xml:space="preserve"> volna célszerű intézményesíteni.</w:t>
      </w:r>
    </w:p>
    <w:p w:rsidR="00E667A3" w:rsidRDefault="00E667A3" w:rsidP="00201EC5">
      <w:pPr>
        <w:jc w:val="both"/>
      </w:pPr>
    </w:p>
    <w:p w:rsidR="002A1B26" w:rsidRDefault="002A1B26" w:rsidP="00201EC5">
      <w:pPr>
        <w:jc w:val="both"/>
      </w:pPr>
      <w:r>
        <w:t xml:space="preserve">A vízvisszatartásnak </w:t>
      </w:r>
      <w:r w:rsidR="00F06B5F">
        <w:t xml:space="preserve">többféle módszere a Stratégiában is olvasható. Ezek közül nagy potenciált jelent az okos mezőgazdálkodással és megfelelő területhasználattal </w:t>
      </w:r>
      <w:r w:rsidR="00663386">
        <w:t xml:space="preserve">a talajban </w:t>
      </w:r>
      <w:r w:rsidR="00663386">
        <w:lastRenderedPageBreak/>
        <w:t xml:space="preserve">tárolható </w:t>
      </w:r>
      <w:r w:rsidR="00F06B5F">
        <w:t>több víz, valamint a ma még szinte teljesen kihasználatlan,</w:t>
      </w:r>
      <w:r w:rsidR="00663386">
        <w:t xml:space="preserve"> települési csapadékvíz-gazdálkodás.</w:t>
      </w:r>
    </w:p>
    <w:p w:rsidR="00D27A87" w:rsidRDefault="00D27A87" w:rsidP="00201EC5">
      <w:pPr>
        <w:jc w:val="both"/>
      </w:pPr>
    </w:p>
    <w:p w:rsidR="00663386" w:rsidRDefault="00663386" w:rsidP="00201EC5">
      <w:pPr>
        <w:jc w:val="both"/>
      </w:pPr>
      <w:r>
        <w:t>Mindezen lehetőségek azonban csak tudatos társadalmi részvétellel valósíthatóak meg, amely társadalmi részvétel és közösségi tudás egyúttal a fenntarthatóság feltétele és biztosítása is egyben.</w:t>
      </w:r>
    </w:p>
    <w:p w:rsidR="00663386" w:rsidRDefault="00663386" w:rsidP="00201EC5">
      <w:pPr>
        <w:jc w:val="both"/>
      </w:pPr>
      <w:r>
        <w:t>Szükséges tehát a vízgazdálkodás oktatása nem csupán a vízügyi szakemberképzésben, hanem a mezőgazdasági és – egyáltalán – mindenféle technológia</w:t>
      </w:r>
      <w:r w:rsidR="00E667A3">
        <w:t>i</w:t>
      </w:r>
      <w:r>
        <w:t xml:space="preserve"> képzés</w:t>
      </w:r>
      <w:r w:rsidR="00D64629">
        <w:t>ben, oktatásban és felsőoktatásban. Célszerű és – várhatóan – hatékony módszer volna az okszerű vízgazdálkodás kritériumainak beépítése – hasonlóan az energiahatékonysági, kibocsátás-csökkentő, környezeti erőforrás</w:t>
      </w:r>
      <w:r w:rsidR="00D27A87">
        <w:t>-</w:t>
      </w:r>
      <w:r w:rsidR="00D64629">
        <w:t>kímélő, - újrahasznosító szempontokhoz – a település- és gazdaságfejlesztési pályázatokba. Ennek előremozdítására pedig a felnőttképzés</w:t>
      </w:r>
      <w:r w:rsidR="00D27A87">
        <w:t xml:space="preserve">, </w:t>
      </w:r>
      <w:r w:rsidR="0091098E">
        <w:t xml:space="preserve">a </w:t>
      </w:r>
      <w:r w:rsidR="00D27A87">
        <w:t xml:space="preserve">tematikus </w:t>
      </w:r>
      <w:r w:rsidR="00D64629">
        <w:t>rövid-tanfolyamok kínálatának bővítése, továbbá az „állam vidéki emberei”</w:t>
      </w:r>
      <w:r w:rsidR="0091098E">
        <w:t>:</w:t>
      </w:r>
      <w:r w:rsidR="00D64629">
        <w:t xml:space="preserve"> a falugazdászok, települési-, megyei önkormányzatok, kormányhivatalok tisztviselőinek felkészítése megfelelő </w:t>
      </w:r>
      <w:r w:rsidR="00E667A3">
        <w:t xml:space="preserve">tudásanyaggal és arra, hogy ezeknek a </w:t>
      </w:r>
      <w:r w:rsidR="00D64629">
        <w:t>módszerek</w:t>
      </w:r>
      <w:r w:rsidR="00E667A3">
        <w:t xml:space="preserve">nek a </w:t>
      </w:r>
      <w:r w:rsidR="00D64629">
        <w:t>terjesztése része a feladataiknak.</w:t>
      </w:r>
    </w:p>
    <w:p w:rsidR="00AE01C3" w:rsidRDefault="00AE01C3" w:rsidP="00201EC5">
      <w:pPr>
        <w:jc w:val="both"/>
      </w:pPr>
    </w:p>
    <w:p w:rsidR="00AE6104" w:rsidRDefault="00AE6104" w:rsidP="00201EC5">
      <w:pPr>
        <w:jc w:val="both"/>
      </w:pPr>
      <w:r>
        <w:t xml:space="preserve">Az OKT a vízügyi beavatkozások és országos fejlesztési irányok közül azokat az alternatívákat támogatja, azokkal tud leginkább egyetérteni, amelyek a fenntarthatóság igényeinek leginkább megfelelnek. </w:t>
      </w:r>
      <w:r w:rsidR="0069267B">
        <w:t xml:space="preserve">Ezen elveket követve </w:t>
      </w:r>
      <w:proofErr w:type="gramStart"/>
      <w:r w:rsidR="0069267B">
        <w:t xml:space="preserve">a  </w:t>
      </w:r>
      <w:proofErr w:type="spellStart"/>
      <w:r w:rsidR="0069267B">
        <w:t>KJT-ben</w:t>
      </w:r>
      <w:proofErr w:type="spellEnd"/>
      <w:proofErr w:type="gramEnd"/>
      <w:r w:rsidR="0069267B">
        <w:t xml:space="preserve"> vizsgált szcenáriókból a C2, a vízgazdálkodásnak a fenntarthatóság igényeinek alávetett rendszer elemet javasoljuk megvalósítani</w:t>
      </w:r>
      <w:r w:rsidR="00123316">
        <w:t>, a tervekben szerepeltetni.</w:t>
      </w:r>
      <w:r w:rsidR="0069267B">
        <w:t xml:space="preserve"> </w:t>
      </w:r>
      <w:r w:rsidR="00123316">
        <w:t xml:space="preserve">Ezt javasoljuk figyelembe venni </w:t>
      </w:r>
      <w:r w:rsidR="00BD5546">
        <w:t xml:space="preserve">akkor is, ha </w:t>
      </w:r>
      <w:r w:rsidR="00123316">
        <w:t>a</w:t>
      </w:r>
      <w:r w:rsidR="0069267B">
        <w:t xml:space="preserve"> másik két</w:t>
      </w:r>
      <w:r w:rsidR="00123316">
        <w:t xml:space="preserve"> elemnek</w:t>
      </w:r>
      <w:r w:rsidR="0069267B">
        <w:t xml:space="preserve"> (A1 és A2 gazdasági valamint B1 és B2 </w:t>
      </w:r>
      <w:r w:rsidR="00123316">
        <w:t xml:space="preserve">klímaváltozási) bármely </w:t>
      </w:r>
      <w:r w:rsidR="0069267B">
        <w:t>előrejelzés</w:t>
      </w:r>
      <w:r w:rsidR="00123316">
        <w:t>-változata</w:t>
      </w:r>
      <w:r w:rsidR="0069267B">
        <w:t xml:space="preserve"> bekövetkez</w:t>
      </w:r>
      <w:r w:rsidR="00123316">
        <w:t>ik is be.</w:t>
      </w:r>
      <w:r w:rsidR="0069267B">
        <w:t xml:space="preserve"> </w:t>
      </w:r>
    </w:p>
    <w:p w:rsidR="00AE6104" w:rsidRDefault="00AE6104" w:rsidP="00201EC5">
      <w:pPr>
        <w:jc w:val="both"/>
      </w:pPr>
    </w:p>
    <w:p w:rsidR="001765AD" w:rsidRDefault="006A01A8" w:rsidP="00201EC5">
      <w:pPr>
        <w:jc w:val="both"/>
      </w:pPr>
      <w:proofErr w:type="gramStart"/>
      <w:r>
        <w:t>A Stratégia is foglalkozik vele, de jelen állásfoglalásunkban is fontosnak tartjuk hangsúlyozni,</w:t>
      </w:r>
      <w:r w:rsidR="001765AD">
        <w:t xml:space="preserve"> hogy a </w:t>
      </w:r>
      <w:r w:rsidR="00E667A3">
        <w:t>nagyvízi mederszabályozá</w:t>
      </w:r>
      <w:bookmarkStart w:id="0" w:name="_GoBack"/>
      <w:bookmarkEnd w:id="0"/>
      <w:r w:rsidR="00E667A3">
        <w:t>s körültekintő tervezésének és megvalósításának során</w:t>
      </w:r>
      <w:r w:rsidR="00960B35">
        <w:t xml:space="preserve"> </w:t>
      </w:r>
      <w:proofErr w:type="spellStart"/>
      <w:r w:rsidR="001765AD">
        <w:t>hidromorfológiai</w:t>
      </w:r>
      <w:proofErr w:type="spellEnd"/>
      <w:r w:rsidR="001765AD">
        <w:t>, ökológiai, hidraulikai – hordalékmozgási – okokból szükséges (volna) egy határokon túlnyúló kitekintés, a határokat átmetsző folyókon – csaknem minden folyónk ilyen</w:t>
      </w:r>
      <w:r w:rsidR="00AE01C3">
        <w:t xml:space="preserve"> –</w:t>
      </w:r>
      <w:r w:rsidR="001765AD">
        <w:t xml:space="preserve"> </w:t>
      </w:r>
      <w:r w:rsidR="00960B35">
        <w:t xml:space="preserve">a </w:t>
      </w:r>
      <w:proofErr w:type="spellStart"/>
      <w:r w:rsidR="00960B35">
        <w:t>felvízi</w:t>
      </w:r>
      <w:proofErr w:type="spellEnd"/>
      <w:r w:rsidR="00960B35">
        <w:t xml:space="preserve"> és </w:t>
      </w:r>
      <w:proofErr w:type="spellStart"/>
      <w:r w:rsidR="00960B35">
        <w:t>alvízi</w:t>
      </w:r>
      <w:proofErr w:type="spellEnd"/>
      <w:r w:rsidR="00960B35">
        <w:t xml:space="preserve"> kapcsolatokat illetően egyaránt;</w:t>
      </w:r>
      <w:r w:rsidR="001765AD">
        <w:t xml:space="preserve"> ez egyébként – célszerű</w:t>
      </w:r>
      <w:r w:rsidR="00E667A3">
        <w:t xml:space="preserve"> és robusztus</w:t>
      </w:r>
      <w:r w:rsidR="001765AD">
        <w:t xml:space="preserve"> – követelménye </w:t>
      </w:r>
      <w:r w:rsidR="00960B35">
        <w:t xml:space="preserve">mind </w:t>
      </w:r>
      <w:r w:rsidR="001765AD">
        <w:t>az EU V</w:t>
      </w:r>
      <w:r w:rsidR="00E667A3">
        <w:t xml:space="preserve">íz </w:t>
      </w:r>
      <w:r w:rsidR="001765AD">
        <w:t>K</w:t>
      </w:r>
      <w:r w:rsidR="00E667A3">
        <w:t xml:space="preserve">eret </w:t>
      </w:r>
      <w:r w:rsidR="001765AD">
        <w:t>I</w:t>
      </w:r>
      <w:r w:rsidR="00E667A3">
        <w:t>rányelv</w:t>
      </w:r>
      <w:r w:rsidR="0091098E">
        <w:t>nek mind pedig</w:t>
      </w:r>
      <w:r w:rsidR="001765AD">
        <w:t xml:space="preserve"> az INTERREG pályázatok</w:t>
      </w:r>
      <w:r w:rsidR="00960B35">
        <w:t>nak</w:t>
      </w:r>
      <w:r w:rsidR="001765AD">
        <w:t>.</w:t>
      </w:r>
      <w:proofErr w:type="gramEnd"/>
    </w:p>
    <w:p w:rsidR="00960B35" w:rsidRDefault="00960B35" w:rsidP="00201EC5">
      <w:pPr>
        <w:jc w:val="both"/>
      </w:pPr>
    </w:p>
    <w:p w:rsidR="001765AD" w:rsidRDefault="001765AD" w:rsidP="00201EC5">
      <w:pPr>
        <w:jc w:val="both"/>
      </w:pPr>
      <w:r>
        <w:t xml:space="preserve">Az említett </w:t>
      </w:r>
      <w:proofErr w:type="spellStart"/>
      <w:r>
        <w:t>hidromorfológia</w:t>
      </w:r>
      <w:proofErr w:type="spellEnd"/>
      <w:r>
        <w:t>, hidraulikai, ökológiai szempontok tekintetbe vétele érdekében szükséges voln</w:t>
      </w:r>
      <w:r w:rsidR="006A01A8">
        <w:t xml:space="preserve">a </w:t>
      </w:r>
      <w:proofErr w:type="gramStart"/>
      <w:r w:rsidR="006A01A8">
        <w:t>ezen</w:t>
      </w:r>
      <w:proofErr w:type="gramEnd"/>
      <w:r w:rsidR="006A01A8">
        <w:t xml:space="preserve"> diszciplínák </w:t>
      </w:r>
      <w:proofErr w:type="spellStart"/>
      <w:r w:rsidR="006A01A8">
        <w:t>inter-</w:t>
      </w:r>
      <w:proofErr w:type="spellEnd"/>
      <w:r w:rsidR="006A01A8">
        <w:t xml:space="preserve"> vagy </w:t>
      </w:r>
      <w:r>
        <w:t>inkább multidiszciplináris kutatás-fejlesztése, hogy az ezáltal elérhető, megszerezhető új, innovatív tudás valóban a döntéselőkészítés-támogatás részévé válhasson.</w:t>
      </w:r>
    </w:p>
    <w:p w:rsidR="006A01A8" w:rsidRDefault="006A01A8" w:rsidP="00201EC5">
      <w:pPr>
        <w:jc w:val="both"/>
      </w:pPr>
    </w:p>
    <w:p w:rsidR="006A01A8" w:rsidRDefault="006A01A8" w:rsidP="00201EC5">
      <w:pPr>
        <w:jc w:val="both"/>
      </w:pPr>
      <w:r>
        <w:t xml:space="preserve">Az OKT a </w:t>
      </w:r>
      <w:proofErr w:type="spellStart"/>
      <w:r>
        <w:t>KJT-ben</w:t>
      </w:r>
      <w:proofErr w:type="spellEnd"/>
      <w:r>
        <w:t xml:space="preserve"> leírtak szerint </w:t>
      </w:r>
      <w:proofErr w:type="spellStart"/>
      <w:r>
        <w:t>támogatólag</w:t>
      </w:r>
      <w:proofErr w:type="spellEnd"/>
      <w:r>
        <w:t xml:space="preserve"> foglal állást abban a tekintetben, hogy a vízgazdálkodás gazdaság-szabályozási rendszerének megújítása </w:t>
      </w:r>
      <w:proofErr w:type="gramStart"/>
      <w:r>
        <w:t>során</w:t>
      </w:r>
      <w:proofErr w:type="gramEnd"/>
      <w:r>
        <w:t xml:space="preserve"> a vízhasználat révén keletkező bevételek  (díjak, járulékok) elkülönítetten kerüljenek kezelésre, és forgassák vissza </w:t>
      </w:r>
      <w:r w:rsidR="009F331F">
        <w:t>azokat a vízgazdálkodási célok megvalósítására és a fejlesztések működtetésére. A szűkös hazai források bővítése céljából megfontolásra érdemesnek tartjuk a kormányzat részéről azt a lehetőséget is megvizsgálni, hogy a vízzel kapcsolatos adók kerüljenek vissza az ágazat feladatai támogatására.</w:t>
      </w:r>
    </w:p>
    <w:p w:rsidR="001765AD" w:rsidRDefault="001765AD" w:rsidP="00201EC5">
      <w:pPr>
        <w:jc w:val="both"/>
      </w:pPr>
    </w:p>
    <w:p w:rsidR="001765AD" w:rsidRDefault="00097411" w:rsidP="00201EC5">
      <w:pPr>
        <w:jc w:val="both"/>
      </w:pPr>
      <w:r>
        <w:t>A</w:t>
      </w:r>
      <w:r w:rsidR="001765AD">
        <w:t xml:space="preserve">z Országos Környezetvédelmi Tanácsnak </w:t>
      </w:r>
      <w:r w:rsidR="00D1700D">
        <w:t>üléssorozat</w:t>
      </w:r>
      <w:r>
        <w:t>ain</w:t>
      </w:r>
      <w:r w:rsidR="00D1700D">
        <w:t xml:space="preserve"> </w:t>
      </w:r>
      <w:r>
        <w:t>kedvező tapasztalatok vannak arra</w:t>
      </w:r>
      <w:r w:rsidR="00D1700D">
        <w:t>, hogy az OKT platform alkalmas a komplex, integrált, a kölcsönhatások elemzésén alapuló tervezés, a Tervezők és a hatásvizsgáló szakértők együttgondolkodásának, együttműködésének előmozdítására.</w:t>
      </w:r>
    </w:p>
    <w:p w:rsidR="00D1700D" w:rsidRDefault="00097411" w:rsidP="00201EC5">
      <w:pPr>
        <w:jc w:val="both"/>
      </w:pPr>
      <w:r>
        <w:t>Megismételve a korábbi válla</w:t>
      </w:r>
      <w:r w:rsidR="00AE6104">
        <w:t>l</w:t>
      </w:r>
      <w:r>
        <w:t>ás</w:t>
      </w:r>
      <w:r w:rsidR="00AE6104">
        <w:t>á</w:t>
      </w:r>
      <w:r>
        <w:t xml:space="preserve">t, a Tanács </w:t>
      </w:r>
      <w:proofErr w:type="gramStart"/>
      <w:r>
        <w:t>ezen</w:t>
      </w:r>
      <w:proofErr w:type="gramEnd"/>
      <w:r>
        <w:t xml:space="preserve"> kedvező lehetőségnek a kihasználását</w:t>
      </w:r>
      <w:r w:rsidR="00AE6104">
        <w:t xml:space="preserve"> </w:t>
      </w:r>
      <w:r w:rsidR="00D1700D">
        <w:t xml:space="preserve"> </w:t>
      </w:r>
      <w:r>
        <w:t xml:space="preserve">ismételten felajánlja </w:t>
      </w:r>
      <w:r w:rsidR="00D1700D">
        <w:t xml:space="preserve"> – különösen, ha ehhez az ágazatok vezetőitől támogatást kap –, hogy az ágazati és területi fejlesztési programok horizontális kölcsönhatás-elemzési együttműk</w:t>
      </w:r>
      <w:r w:rsidR="0091098E">
        <w:t>ödésére módot adó platform</w:t>
      </w:r>
      <w:r w:rsidR="00D1700D">
        <w:t xml:space="preserve"> legyen</w:t>
      </w:r>
      <w:r w:rsidR="0091098E">
        <w:t xml:space="preserve">, ezt az egyeztető </w:t>
      </w:r>
      <w:r>
        <w:t>„felületet” rendelkezésre bocsá</w:t>
      </w:r>
      <w:r w:rsidR="00AE6104">
        <w:t>ss</w:t>
      </w:r>
      <w:r w:rsidR="0091098E">
        <w:t>a</w:t>
      </w:r>
      <w:r w:rsidR="00D1700D">
        <w:t>.</w:t>
      </w:r>
    </w:p>
    <w:p w:rsidR="00785A79" w:rsidRDefault="00785A79" w:rsidP="00201EC5">
      <w:pPr>
        <w:jc w:val="both"/>
        <w:rPr>
          <w:rFonts w:eastAsia="Calibri"/>
          <w:szCs w:val="24"/>
          <w:lang w:eastAsia="en-US"/>
        </w:rPr>
      </w:pPr>
    </w:p>
    <w:p w:rsidR="00785A79" w:rsidRDefault="00785A79" w:rsidP="00201EC5">
      <w:pPr>
        <w:jc w:val="both"/>
        <w:rPr>
          <w:rFonts w:eastAsia="Calibri"/>
          <w:szCs w:val="24"/>
          <w:lang w:eastAsia="en-US"/>
        </w:rPr>
      </w:pPr>
    </w:p>
    <w:p w:rsidR="000423D6" w:rsidRPr="00935D13" w:rsidRDefault="006A01A8" w:rsidP="00201EC5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2016</w:t>
      </w:r>
      <w:r w:rsidR="00A0056C">
        <w:rPr>
          <w:rFonts w:eastAsia="Calibri"/>
          <w:szCs w:val="24"/>
          <w:lang w:eastAsia="en-US"/>
        </w:rPr>
        <w:t xml:space="preserve">. </w:t>
      </w:r>
      <w:r>
        <w:rPr>
          <w:rFonts w:eastAsia="Calibri"/>
          <w:szCs w:val="24"/>
          <w:lang w:eastAsia="en-US"/>
        </w:rPr>
        <w:t>november 12.</w:t>
      </w:r>
    </w:p>
    <w:sectPr w:rsidR="000423D6" w:rsidRPr="00935D13" w:rsidSect="002975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C7" w:rsidRDefault="008962C7">
      <w:r>
        <w:separator/>
      </w:r>
    </w:p>
  </w:endnote>
  <w:endnote w:type="continuationSeparator" w:id="0">
    <w:p w:rsidR="008962C7" w:rsidRDefault="0089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F62078" w:rsidRDefault="00F62078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 Budapest, Kossuth tér 11.</w:t>
    </w:r>
  </w:p>
  <w:p w:rsidR="00F62078" w:rsidRDefault="00F62078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1860 Bp.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1- 79 51063, 1- 79 53699. Fax: 1- 79 50429.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="00280B3A" w:rsidRPr="00095C0B">
        <w:rPr>
          <w:rStyle w:val="Hiperhivatkozs"/>
          <w:rFonts w:ascii="Clarendon Condensed" w:hAnsi="Clarendon Condensed"/>
          <w:spacing w:val="40"/>
          <w:sz w:val="20"/>
        </w:rPr>
        <w:t>okttitk@fm.gov.hu</w:t>
      </w:r>
    </w:hyperlink>
  </w:p>
  <w:p w:rsidR="00F62078" w:rsidRPr="00AE33FB" w:rsidRDefault="00F62078" w:rsidP="00F77403">
    <w:pPr>
      <w:pStyle w:val="llb"/>
      <w:jc w:val="center"/>
      <w:rPr>
        <w:rFonts w:ascii="Clarendon Condensed" w:hAnsi="Clarendon Condensed"/>
        <w:color w:val="000000"/>
        <w:spacing w:val="40"/>
        <w:sz w:val="20"/>
      </w:rPr>
    </w:pPr>
    <w:proofErr w:type="gramStart"/>
    <w:r>
      <w:rPr>
        <w:rFonts w:ascii="Clarendon Condensed" w:hAnsi="Clarendon Condensed"/>
        <w:spacing w:val="40"/>
        <w:sz w:val="20"/>
      </w:rPr>
      <w:t>www.oktt.hu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C7" w:rsidRDefault="008962C7">
      <w:r>
        <w:separator/>
      </w:r>
    </w:p>
  </w:footnote>
  <w:footnote w:type="continuationSeparator" w:id="0">
    <w:p w:rsidR="008962C7" w:rsidRDefault="0089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540977409" r:id="rId2"/>
      </w:object>
    </w:r>
  </w:p>
  <w:p w:rsidR="00F62078" w:rsidRDefault="00F62078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0"/>
        </w:tabs>
        <w:ind w:left="737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7" w:hanging="360"/>
      </w:pPr>
      <w:rPr>
        <w:rFonts w:ascii="Wingdings" w:hAnsi="Wingdings"/>
      </w:rPr>
    </w:lvl>
  </w:abstractNum>
  <w:abstractNum w:abstractNumId="2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41BFD"/>
    <w:multiLevelType w:val="hybridMultilevel"/>
    <w:tmpl w:val="D7E05AE6"/>
    <w:lvl w:ilvl="0" w:tplc="040E000F">
      <w:start w:val="1"/>
      <w:numFmt w:val="decimal"/>
      <w:lvlText w:val="%1."/>
      <w:lvlJc w:val="left"/>
      <w:pPr>
        <w:ind w:left="294" w:hanging="360"/>
      </w:pPr>
    </w:lvl>
    <w:lvl w:ilvl="1" w:tplc="040E0019">
      <w:start w:val="1"/>
      <w:numFmt w:val="lowerLetter"/>
      <w:lvlText w:val="%2."/>
      <w:lvlJc w:val="left"/>
      <w:pPr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51AA9"/>
    <w:multiLevelType w:val="hybridMultilevel"/>
    <w:tmpl w:val="D6504FCE"/>
    <w:lvl w:ilvl="0" w:tplc="5588D78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532F8"/>
    <w:multiLevelType w:val="hybridMultilevel"/>
    <w:tmpl w:val="0C58D9C4"/>
    <w:lvl w:ilvl="0" w:tplc="E7C2A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7"/>
  </w:num>
  <w:num w:numId="9">
    <w:abstractNumId w:val="14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7F6"/>
    <w:rsid w:val="000008B6"/>
    <w:rsid w:val="00011212"/>
    <w:rsid w:val="00013D0D"/>
    <w:rsid w:val="00016318"/>
    <w:rsid w:val="00030B8E"/>
    <w:rsid w:val="0003201B"/>
    <w:rsid w:val="0003417F"/>
    <w:rsid w:val="0003565B"/>
    <w:rsid w:val="000423D6"/>
    <w:rsid w:val="000473C3"/>
    <w:rsid w:val="00050B13"/>
    <w:rsid w:val="00057228"/>
    <w:rsid w:val="00073DF4"/>
    <w:rsid w:val="00075591"/>
    <w:rsid w:val="000800B8"/>
    <w:rsid w:val="00080183"/>
    <w:rsid w:val="00087B09"/>
    <w:rsid w:val="00093EA7"/>
    <w:rsid w:val="00094C98"/>
    <w:rsid w:val="00097411"/>
    <w:rsid w:val="000A0179"/>
    <w:rsid w:val="000A2908"/>
    <w:rsid w:val="000A6143"/>
    <w:rsid w:val="000A78AC"/>
    <w:rsid w:val="000B13D8"/>
    <w:rsid w:val="000B6074"/>
    <w:rsid w:val="000B6387"/>
    <w:rsid w:val="000C75F3"/>
    <w:rsid w:val="000D6FE4"/>
    <w:rsid w:val="000E2B9A"/>
    <w:rsid w:val="000E2C5B"/>
    <w:rsid w:val="000F2CC9"/>
    <w:rsid w:val="00101B16"/>
    <w:rsid w:val="00102568"/>
    <w:rsid w:val="0012057F"/>
    <w:rsid w:val="00123316"/>
    <w:rsid w:val="00126BE2"/>
    <w:rsid w:val="00130B64"/>
    <w:rsid w:val="001310C1"/>
    <w:rsid w:val="00134C62"/>
    <w:rsid w:val="00147E1C"/>
    <w:rsid w:val="0015324C"/>
    <w:rsid w:val="00154D23"/>
    <w:rsid w:val="00161771"/>
    <w:rsid w:val="00172A0C"/>
    <w:rsid w:val="001765AD"/>
    <w:rsid w:val="00176DE3"/>
    <w:rsid w:val="00183F0E"/>
    <w:rsid w:val="001917BB"/>
    <w:rsid w:val="00197BDA"/>
    <w:rsid w:val="001A46CC"/>
    <w:rsid w:val="001A5508"/>
    <w:rsid w:val="001B1053"/>
    <w:rsid w:val="001B24A1"/>
    <w:rsid w:val="001C24E0"/>
    <w:rsid w:val="001C35D6"/>
    <w:rsid w:val="001C3E85"/>
    <w:rsid w:val="001D2AC7"/>
    <w:rsid w:val="001E05B6"/>
    <w:rsid w:val="001E442F"/>
    <w:rsid w:val="001F0D40"/>
    <w:rsid w:val="001F0F1C"/>
    <w:rsid w:val="001F2879"/>
    <w:rsid w:val="00201EC5"/>
    <w:rsid w:val="002031B2"/>
    <w:rsid w:val="00204656"/>
    <w:rsid w:val="002120FE"/>
    <w:rsid w:val="00212FBC"/>
    <w:rsid w:val="002158B4"/>
    <w:rsid w:val="002161CB"/>
    <w:rsid w:val="00220757"/>
    <w:rsid w:val="0022093E"/>
    <w:rsid w:val="00220C34"/>
    <w:rsid w:val="00221634"/>
    <w:rsid w:val="00230A6F"/>
    <w:rsid w:val="00233655"/>
    <w:rsid w:val="0024070D"/>
    <w:rsid w:val="002627CD"/>
    <w:rsid w:val="00262A06"/>
    <w:rsid w:val="002646F2"/>
    <w:rsid w:val="00271733"/>
    <w:rsid w:val="00275182"/>
    <w:rsid w:val="00275BF2"/>
    <w:rsid w:val="00280B3A"/>
    <w:rsid w:val="00283E67"/>
    <w:rsid w:val="002971B6"/>
    <w:rsid w:val="002975FC"/>
    <w:rsid w:val="002A1B26"/>
    <w:rsid w:val="002A23C1"/>
    <w:rsid w:val="002A2934"/>
    <w:rsid w:val="002A3528"/>
    <w:rsid w:val="002A531F"/>
    <w:rsid w:val="002D404A"/>
    <w:rsid w:val="002E1A1D"/>
    <w:rsid w:val="002E2ADE"/>
    <w:rsid w:val="002F5B0E"/>
    <w:rsid w:val="00307947"/>
    <w:rsid w:val="00313049"/>
    <w:rsid w:val="003357FA"/>
    <w:rsid w:val="00337D2A"/>
    <w:rsid w:val="003425B7"/>
    <w:rsid w:val="00352340"/>
    <w:rsid w:val="00360686"/>
    <w:rsid w:val="0036118E"/>
    <w:rsid w:val="0037073D"/>
    <w:rsid w:val="0038408E"/>
    <w:rsid w:val="00384C5A"/>
    <w:rsid w:val="00386B86"/>
    <w:rsid w:val="00392ADE"/>
    <w:rsid w:val="003B46F7"/>
    <w:rsid w:val="003C2886"/>
    <w:rsid w:val="003C4893"/>
    <w:rsid w:val="003E0BD8"/>
    <w:rsid w:val="003E38E1"/>
    <w:rsid w:val="003E53F0"/>
    <w:rsid w:val="003E6E53"/>
    <w:rsid w:val="003E715C"/>
    <w:rsid w:val="003F567A"/>
    <w:rsid w:val="00401E82"/>
    <w:rsid w:val="00406380"/>
    <w:rsid w:val="00406817"/>
    <w:rsid w:val="00420093"/>
    <w:rsid w:val="004215DC"/>
    <w:rsid w:val="00424227"/>
    <w:rsid w:val="0043014A"/>
    <w:rsid w:val="00431537"/>
    <w:rsid w:val="00431BB3"/>
    <w:rsid w:val="00435207"/>
    <w:rsid w:val="00464E1B"/>
    <w:rsid w:val="00467BFB"/>
    <w:rsid w:val="00471381"/>
    <w:rsid w:val="00484898"/>
    <w:rsid w:val="004921D4"/>
    <w:rsid w:val="00493A2B"/>
    <w:rsid w:val="00495240"/>
    <w:rsid w:val="00496913"/>
    <w:rsid w:val="004C4BDF"/>
    <w:rsid w:val="004D5644"/>
    <w:rsid w:val="004E3F09"/>
    <w:rsid w:val="004E5DD2"/>
    <w:rsid w:val="004E5E63"/>
    <w:rsid w:val="004F2071"/>
    <w:rsid w:val="004F2EA4"/>
    <w:rsid w:val="00507803"/>
    <w:rsid w:val="005104B7"/>
    <w:rsid w:val="005112E9"/>
    <w:rsid w:val="00513B8A"/>
    <w:rsid w:val="00520010"/>
    <w:rsid w:val="00525A56"/>
    <w:rsid w:val="00535E81"/>
    <w:rsid w:val="005375F2"/>
    <w:rsid w:val="005505B6"/>
    <w:rsid w:val="00554C5E"/>
    <w:rsid w:val="00562FA2"/>
    <w:rsid w:val="00563552"/>
    <w:rsid w:val="00563632"/>
    <w:rsid w:val="00575C6A"/>
    <w:rsid w:val="00576C82"/>
    <w:rsid w:val="005774FC"/>
    <w:rsid w:val="00585442"/>
    <w:rsid w:val="00585762"/>
    <w:rsid w:val="00594008"/>
    <w:rsid w:val="00594B89"/>
    <w:rsid w:val="0059784F"/>
    <w:rsid w:val="00597A62"/>
    <w:rsid w:val="005A4DD2"/>
    <w:rsid w:val="005E2E1C"/>
    <w:rsid w:val="005E3DFC"/>
    <w:rsid w:val="005E5E4D"/>
    <w:rsid w:val="00604E14"/>
    <w:rsid w:val="00610331"/>
    <w:rsid w:val="006129F6"/>
    <w:rsid w:val="00612CA4"/>
    <w:rsid w:val="006219C0"/>
    <w:rsid w:val="006253EC"/>
    <w:rsid w:val="006300B6"/>
    <w:rsid w:val="00632A71"/>
    <w:rsid w:val="00633879"/>
    <w:rsid w:val="006507E6"/>
    <w:rsid w:val="006540A2"/>
    <w:rsid w:val="00663386"/>
    <w:rsid w:val="006728E0"/>
    <w:rsid w:val="00685A31"/>
    <w:rsid w:val="0069267B"/>
    <w:rsid w:val="006A01A8"/>
    <w:rsid w:val="006A404E"/>
    <w:rsid w:val="006C7068"/>
    <w:rsid w:val="006D3F92"/>
    <w:rsid w:val="006D46A6"/>
    <w:rsid w:val="006E1DDB"/>
    <w:rsid w:val="006E401D"/>
    <w:rsid w:val="006F1E93"/>
    <w:rsid w:val="006F3B94"/>
    <w:rsid w:val="00702D46"/>
    <w:rsid w:val="00711969"/>
    <w:rsid w:val="00714AB1"/>
    <w:rsid w:val="00721CE2"/>
    <w:rsid w:val="00721FC9"/>
    <w:rsid w:val="0072465B"/>
    <w:rsid w:val="00725F91"/>
    <w:rsid w:val="0072728F"/>
    <w:rsid w:val="00730F2E"/>
    <w:rsid w:val="007330BC"/>
    <w:rsid w:val="0073615B"/>
    <w:rsid w:val="007368DB"/>
    <w:rsid w:val="00741710"/>
    <w:rsid w:val="007428D9"/>
    <w:rsid w:val="00767356"/>
    <w:rsid w:val="00770285"/>
    <w:rsid w:val="00785A79"/>
    <w:rsid w:val="00791EFC"/>
    <w:rsid w:val="00796B93"/>
    <w:rsid w:val="007A779F"/>
    <w:rsid w:val="007B0C42"/>
    <w:rsid w:val="007B688A"/>
    <w:rsid w:val="007C2515"/>
    <w:rsid w:val="007C4813"/>
    <w:rsid w:val="007D56FF"/>
    <w:rsid w:val="007E21CA"/>
    <w:rsid w:val="007E540A"/>
    <w:rsid w:val="007E6C04"/>
    <w:rsid w:val="007F0917"/>
    <w:rsid w:val="008103FA"/>
    <w:rsid w:val="00823BBC"/>
    <w:rsid w:val="0082742C"/>
    <w:rsid w:val="00834273"/>
    <w:rsid w:val="0083455A"/>
    <w:rsid w:val="0083726A"/>
    <w:rsid w:val="00841FEB"/>
    <w:rsid w:val="00846191"/>
    <w:rsid w:val="008551A1"/>
    <w:rsid w:val="008551B2"/>
    <w:rsid w:val="00870398"/>
    <w:rsid w:val="0087496A"/>
    <w:rsid w:val="008858EC"/>
    <w:rsid w:val="008962C7"/>
    <w:rsid w:val="008A1CA3"/>
    <w:rsid w:val="008A5255"/>
    <w:rsid w:val="008B07DA"/>
    <w:rsid w:val="008B4857"/>
    <w:rsid w:val="008B5E12"/>
    <w:rsid w:val="008C46C7"/>
    <w:rsid w:val="008C47B5"/>
    <w:rsid w:val="008C5064"/>
    <w:rsid w:val="008E2B70"/>
    <w:rsid w:val="008E3D84"/>
    <w:rsid w:val="008F06ED"/>
    <w:rsid w:val="008F1D7D"/>
    <w:rsid w:val="008F2D4A"/>
    <w:rsid w:val="008F3E4E"/>
    <w:rsid w:val="008F6187"/>
    <w:rsid w:val="008F6763"/>
    <w:rsid w:val="00902199"/>
    <w:rsid w:val="00903399"/>
    <w:rsid w:val="0091098E"/>
    <w:rsid w:val="00912902"/>
    <w:rsid w:val="009211B5"/>
    <w:rsid w:val="009249D7"/>
    <w:rsid w:val="00935D13"/>
    <w:rsid w:val="009429E8"/>
    <w:rsid w:val="00956494"/>
    <w:rsid w:val="00960B35"/>
    <w:rsid w:val="00960BC4"/>
    <w:rsid w:val="00972EB1"/>
    <w:rsid w:val="009769A6"/>
    <w:rsid w:val="009A43B9"/>
    <w:rsid w:val="009C7BA0"/>
    <w:rsid w:val="009D5E87"/>
    <w:rsid w:val="009E12D3"/>
    <w:rsid w:val="009E3B32"/>
    <w:rsid w:val="009E6833"/>
    <w:rsid w:val="009F17B2"/>
    <w:rsid w:val="009F193E"/>
    <w:rsid w:val="009F331F"/>
    <w:rsid w:val="00A0056C"/>
    <w:rsid w:val="00A00841"/>
    <w:rsid w:val="00A048D0"/>
    <w:rsid w:val="00A05553"/>
    <w:rsid w:val="00A11583"/>
    <w:rsid w:val="00A11588"/>
    <w:rsid w:val="00A120D2"/>
    <w:rsid w:val="00A162E5"/>
    <w:rsid w:val="00A2109A"/>
    <w:rsid w:val="00A21A98"/>
    <w:rsid w:val="00A3277C"/>
    <w:rsid w:val="00A6174F"/>
    <w:rsid w:val="00A74606"/>
    <w:rsid w:val="00A76C3D"/>
    <w:rsid w:val="00A77FA2"/>
    <w:rsid w:val="00A812AF"/>
    <w:rsid w:val="00A820ED"/>
    <w:rsid w:val="00A90055"/>
    <w:rsid w:val="00AA6125"/>
    <w:rsid w:val="00AB1F3C"/>
    <w:rsid w:val="00AB4E3A"/>
    <w:rsid w:val="00AD5C62"/>
    <w:rsid w:val="00AE01C3"/>
    <w:rsid w:val="00AE33FB"/>
    <w:rsid w:val="00AE6104"/>
    <w:rsid w:val="00AF5CE4"/>
    <w:rsid w:val="00B02F68"/>
    <w:rsid w:val="00B05AD4"/>
    <w:rsid w:val="00B05ED6"/>
    <w:rsid w:val="00B06518"/>
    <w:rsid w:val="00B0780A"/>
    <w:rsid w:val="00B07B46"/>
    <w:rsid w:val="00B10ECB"/>
    <w:rsid w:val="00B113F1"/>
    <w:rsid w:val="00B11A54"/>
    <w:rsid w:val="00B14818"/>
    <w:rsid w:val="00B2329D"/>
    <w:rsid w:val="00B42B2C"/>
    <w:rsid w:val="00B432AE"/>
    <w:rsid w:val="00B56959"/>
    <w:rsid w:val="00B718E9"/>
    <w:rsid w:val="00B72F9E"/>
    <w:rsid w:val="00B74896"/>
    <w:rsid w:val="00B9684A"/>
    <w:rsid w:val="00BA4801"/>
    <w:rsid w:val="00BA6EDA"/>
    <w:rsid w:val="00BB22C8"/>
    <w:rsid w:val="00BB4702"/>
    <w:rsid w:val="00BB49D5"/>
    <w:rsid w:val="00BB7062"/>
    <w:rsid w:val="00BC0B38"/>
    <w:rsid w:val="00BC2E1C"/>
    <w:rsid w:val="00BD3DB2"/>
    <w:rsid w:val="00BD4865"/>
    <w:rsid w:val="00BD5546"/>
    <w:rsid w:val="00BE3EE6"/>
    <w:rsid w:val="00BE4B9A"/>
    <w:rsid w:val="00BE6548"/>
    <w:rsid w:val="00BF0BA9"/>
    <w:rsid w:val="00BF14C7"/>
    <w:rsid w:val="00C066EE"/>
    <w:rsid w:val="00C1237F"/>
    <w:rsid w:val="00C13CAE"/>
    <w:rsid w:val="00C150DA"/>
    <w:rsid w:val="00C15FDA"/>
    <w:rsid w:val="00C17085"/>
    <w:rsid w:val="00C20F4F"/>
    <w:rsid w:val="00C2265F"/>
    <w:rsid w:val="00C61588"/>
    <w:rsid w:val="00C86F30"/>
    <w:rsid w:val="00C92425"/>
    <w:rsid w:val="00CA1AB4"/>
    <w:rsid w:val="00CA57E0"/>
    <w:rsid w:val="00CA7B47"/>
    <w:rsid w:val="00CB2053"/>
    <w:rsid w:val="00CB3B4E"/>
    <w:rsid w:val="00CB6E0E"/>
    <w:rsid w:val="00CD33A6"/>
    <w:rsid w:val="00CD4753"/>
    <w:rsid w:val="00CE6804"/>
    <w:rsid w:val="00D01A57"/>
    <w:rsid w:val="00D01F6B"/>
    <w:rsid w:val="00D02C60"/>
    <w:rsid w:val="00D05F78"/>
    <w:rsid w:val="00D1700D"/>
    <w:rsid w:val="00D21664"/>
    <w:rsid w:val="00D218C5"/>
    <w:rsid w:val="00D22E9F"/>
    <w:rsid w:val="00D27A87"/>
    <w:rsid w:val="00D447FB"/>
    <w:rsid w:val="00D473EB"/>
    <w:rsid w:val="00D53B6A"/>
    <w:rsid w:val="00D56732"/>
    <w:rsid w:val="00D60AF5"/>
    <w:rsid w:val="00D61B6D"/>
    <w:rsid w:val="00D64629"/>
    <w:rsid w:val="00D769A0"/>
    <w:rsid w:val="00D8190C"/>
    <w:rsid w:val="00D827DE"/>
    <w:rsid w:val="00D907BC"/>
    <w:rsid w:val="00D96CAE"/>
    <w:rsid w:val="00D97D7D"/>
    <w:rsid w:val="00DC2A55"/>
    <w:rsid w:val="00DC6AED"/>
    <w:rsid w:val="00DD6525"/>
    <w:rsid w:val="00DE3B4E"/>
    <w:rsid w:val="00DF169E"/>
    <w:rsid w:val="00DF1D22"/>
    <w:rsid w:val="00DF1DFB"/>
    <w:rsid w:val="00E00A6D"/>
    <w:rsid w:val="00E00CBD"/>
    <w:rsid w:val="00E01A50"/>
    <w:rsid w:val="00E06873"/>
    <w:rsid w:val="00E211CC"/>
    <w:rsid w:val="00E22FDE"/>
    <w:rsid w:val="00E3308D"/>
    <w:rsid w:val="00E45155"/>
    <w:rsid w:val="00E46CF8"/>
    <w:rsid w:val="00E47A77"/>
    <w:rsid w:val="00E47C7A"/>
    <w:rsid w:val="00E548E1"/>
    <w:rsid w:val="00E56A74"/>
    <w:rsid w:val="00E667A3"/>
    <w:rsid w:val="00E733CC"/>
    <w:rsid w:val="00E73769"/>
    <w:rsid w:val="00E76039"/>
    <w:rsid w:val="00E83ECB"/>
    <w:rsid w:val="00E84956"/>
    <w:rsid w:val="00EA0134"/>
    <w:rsid w:val="00EC3052"/>
    <w:rsid w:val="00EE38C9"/>
    <w:rsid w:val="00EE756B"/>
    <w:rsid w:val="00EF384C"/>
    <w:rsid w:val="00EF4757"/>
    <w:rsid w:val="00F00115"/>
    <w:rsid w:val="00F06B5F"/>
    <w:rsid w:val="00F07011"/>
    <w:rsid w:val="00F15CD3"/>
    <w:rsid w:val="00F17B76"/>
    <w:rsid w:val="00F2686A"/>
    <w:rsid w:val="00F35FDA"/>
    <w:rsid w:val="00F42A09"/>
    <w:rsid w:val="00F5108E"/>
    <w:rsid w:val="00F5260D"/>
    <w:rsid w:val="00F62078"/>
    <w:rsid w:val="00F67081"/>
    <w:rsid w:val="00F67797"/>
    <w:rsid w:val="00F71205"/>
    <w:rsid w:val="00F719CD"/>
    <w:rsid w:val="00F7549D"/>
    <w:rsid w:val="00F7629D"/>
    <w:rsid w:val="00F77403"/>
    <w:rsid w:val="00F937F6"/>
    <w:rsid w:val="00FA149D"/>
    <w:rsid w:val="00FA4FC7"/>
    <w:rsid w:val="00FB3E0B"/>
    <w:rsid w:val="00FB5C90"/>
    <w:rsid w:val="00FB602B"/>
    <w:rsid w:val="00FB7ADD"/>
    <w:rsid w:val="00FC331A"/>
    <w:rsid w:val="00FC3D54"/>
    <w:rsid w:val="00FD032A"/>
    <w:rsid w:val="00FD23C3"/>
    <w:rsid w:val="00FE3579"/>
    <w:rsid w:val="00FE5B3F"/>
    <w:rsid w:val="00FF327F"/>
    <w:rsid w:val="00FF6D2E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aliases w:val="Jsz_Alcím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rsid w:val="00B72F9E"/>
    <w:rPr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1F0F1C"/>
  </w:style>
  <w:style w:type="paragraph" w:styleId="Listaszerbekezds">
    <w:name w:val="List Paragraph"/>
    <w:basedOn w:val="Norml"/>
    <w:uiPriority w:val="34"/>
    <w:qFormat/>
    <w:rsid w:val="0036118E"/>
    <w:pPr>
      <w:ind w:left="720"/>
      <w:contextualSpacing/>
    </w:pPr>
  </w:style>
  <w:style w:type="paragraph" w:customStyle="1" w:styleId="StlusCmsor2KzprezrtEltte18ptUtna0ptSorkz">
    <w:name w:val="Stílus Címsor 2 + Középre zárt Előtte:  18 pt Utána:  0 pt Sorköz..."/>
    <w:basedOn w:val="Cmsor2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/>
      <w:i/>
      <w:iCs/>
      <w:lang w:eastAsia="ar-SA"/>
    </w:rPr>
  </w:style>
  <w:style w:type="character" w:styleId="Jegyzethivatkozs">
    <w:name w:val="annotation reference"/>
    <w:rsid w:val="00172A0C"/>
    <w:rPr>
      <w:sz w:val="16"/>
      <w:szCs w:val="16"/>
    </w:rPr>
  </w:style>
  <w:style w:type="table" w:styleId="Rcsostblzat">
    <w:name w:val="Table Grid"/>
    <w:basedOn w:val="Normltblzat"/>
    <w:uiPriority w:val="39"/>
    <w:rsid w:val="000A61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0A6143"/>
    <w:rPr>
      <w:rFonts w:ascii="Calibri" w:eastAsia="Calibri" w:hAnsi="Calibri"/>
      <w:sz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0A6143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unhideWhenUsed/>
    <w:rsid w:val="000A6143"/>
    <w:rPr>
      <w:vertAlign w:val="superscript"/>
    </w:rPr>
  </w:style>
  <w:style w:type="paragraph" w:customStyle="1" w:styleId="ListParagraph1">
    <w:name w:val="List Paragraph1"/>
    <w:basedOn w:val="Norml"/>
    <w:rsid w:val="00F719C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F719CD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3E38E1"/>
    <w:rPr>
      <w:b/>
      <w:bCs/>
    </w:rPr>
  </w:style>
  <w:style w:type="character" w:customStyle="1" w:styleId="MegjegyzstrgyaChar">
    <w:name w:val="Megjegyzés tárgya Char"/>
    <w:link w:val="Megjegyzstrgya"/>
    <w:rsid w:val="003E38E1"/>
    <w:rPr>
      <w:b/>
      <w:bCs/>
    </w:rPr>
  </w:style>
  <w:style w:type="paragraph" w:customStyle="1" w:styleId="CM1">
    <w:name w:val="CM1"/>
    <w:basedOn w:val="Norml"/>
    <w:next w:val="Norml"/>
    <w:rsid w:val="00F5108E"/>
    <w:pPr>
      <w:autoSpaceDE w:val="0"/>
      <w:autoSpaceDN w:val="0"/>
      <w:adjustRightInd w:val="0"/>
    </w:pPr>
    <w:rPr>
      <w:rFonts w:ascii="EUAlbertina" w:hAnsi="EUAlbertina"/>
      <w:szCs w:val="24"/>
      <w:lang w:eastAsia="en-US"/>
    </w:rPr>
  </w:style>
  <w:style w:type="character" w:customStyle="1" w:styleId="CharStyle3">
    <w:name w:val="Char Style 3"/>
    <w:link w:val="Style2"/>
    <w:locked/>
    <w:rsid w:val="00F5108E"/>
    <w:rPr>
      <w:sz w:val="34"/>
      <w:szCs w:val="34"/>
      <w:shd w:val="clear" w:color="auto" w:fill="FFFFFF"/>
    </w:rPr>
  </w:style>
  <w:style w:type="paragraph" w:customStyle="1" w:styleId="Style2">
    <w:name w:val="Style 2"/>
    <w:basedOn w:val="Norml"/>
    <w:link w:val="CharStyle3"/>
    <w:rsid w:val="00F5108E"/>
    <w:pPr>
      <w:widowControl w:val="0"/>
      <w:shd w:val="clear" w:color="auto" w:fill="FFFFFF"/>
      <w:spacing w:line="475" w:lineRule="exact"/>
    </w:pPr>
    <w:rPr>
      <w:sz w:val="34"/>
      <w:szCs w:val="34"/>
    </w:rPr>
  </w:style>
  <w:style w:type="character" w:customStyle="1" w:styleId="CharStyle5">
    <w:name w:val="Char Style 5"/>
    <w:link w:val="Style4"/>
    <w:locked/>
    <w:rsid w:val="00F5108E"/>
    <w:rPr>
      <w:sz w:val="23"/>
      <w:szCs w:val="23"/>
      <w:shd w:val="clear" w:color="auto" w:fill="FFFFFF"/>
    </w:rPr>
  </w:style>
  <w:style w:type="paragraph" w:customStyle="1" w:styleId="Style4">
    <w:name w:val="Style 4"/>
    <w:basedOn w:val="Norml"/>
    <w:link w:val="CharStyle5"/>
    <w:rsid w:val="00F5108E"/>
    <w:pPr>
      <w:widowControl w:val="0"/>
      <w:shd w:val="clear" w:color="auto" w:fill="FFFFFF"/>
      <w:spacing w:after="300" w:line="240" w:lineRule="atLeast"/>
      <w:ind w:hanging="580"/>
      <w:jc w:val="both"/>
      <w:outlineLvl w:val="0"/>
    </w:pPr>
    <w:rPr>
      <w:sz w:val="23"/>
      <w:szCs w:val="23"/>
    </w:rPr>
  </w:style>
  <w:style w:type="character" w:customStyle="1" w:styleId="CharStyle11">
    <w:name w:val="Char Style 11"/>
    <w:link w:val="Style10"/>
    <w:locked/>
    <w:rsid w:val="00F5108E"/>
    <w:rPr>
      <w:sz w:val="23"/>
      <w:szCs w:val="23"/>
      <w:shd w:val="clear" w:color="auto" w:fill="FFFFFF"/>
    </w:rPr>
  </w:style>
  <w:style w:type="paragraph" w:customStyle="1" w:styleId="Style10">
    <w:name w:val="Style 10"/>
    <w:basedOn w:val="Norml"/>
    <w:link w:val="CharStyle11"/>
    <w:rsid w:val="00F5108E"/>
    <w:pPr>
      <w:widowControl w:val="0"/>
      <w:shd w:val="clear" w:color="auto" w:fill="FFFFFF"/>
      <w:spacing w:before="300" w:after="240" w:line="274" w:lineRule="exact"/>
      <w:ind w:hanging="740"/>
      <w:jc w:val="both"/>
    </w:pPr>
    <w:rPr>
      <w:sz w:val="23"/>
      <w:szCs w:val="23"/>
    </w:rPr>
  </w:style>
  <w:style w:type="character" w:customStyle="1" w:styleId="CharStyle30">
    <w:name w:val="Char Style 30"/>
    <w:rsid w:val="00F5108E"/>
    <w:rPr>
      <w:rFonts w:ascii="Times New Roman" w:hAnsi="Times New Roman" w:cs="Times New Roman"/>
      <w:color w:val="222222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CharStyle32">
    <w:name w:val="Char Style 32"/>
    <w:link w:val="Style31"/>
    <w:locked/>
    <w:rsid w:val="00F5108E"/>
    <w:rPr>
      <w:sz w:val="23"/>
      <w:szCs w:val="23"/>
      <w:shd w:val="clear" w:color="auto" w:fill="FFFFFF"/>
    </w:rPr>
  </w:style>
  <w:style w:type="paragraph" w:customStyle="1" w:styleId="Style31">
    <w:name w:val="Style 31"/>
    <w:basedOn w:val="Norml"/>
    <w:link w:val="CharStyle32"/>
    <w:rsid w:val="00F5108E"/>
    <w:pPr>
      <w:widowControl w:val="0"/>
      <w:shd w:val="clear" w:color="auto" w:fill="FFFFFF"/>
      <w:spacing w:before="240" w:after="240" w:line="274" w:lineRule="exact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f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E27AC-93DE-45F9-BA6C-72DE4723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1238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9762</CharactersWithSpaces>
  <SharedDoc>false</SharedDoc>
  <HLinks>
    <vt:vector size="6" baseType="variant">
      <vt:variant>
        <vt:i4>458869</vt:i4>
      </vt:variant>
      <vt:variant>
        <vt:i4>3</vt:i4>
      </vt:variant>
      <vt:variant>
        <vt:i4>0</vt:i4>
      </vt:variant>
      <vt:variant>
        <vt:i4>5</vt:i4>
      </vt:variant>
      <vt:variant>
        <vt:lpwstr>mailto:okttitk@fm.gov.hu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LakatosL</dc:creator>
  <cp:lastModifiedBy>LakatosL</cp:lastModifiedBy>
  <cp:revision>2</cp:revision>
  <cp:lastPrinted>2015-02-09T14:32:00Z</cp:lastPrinted>
  <dcterms:created xsi:type="dcterms:W3CDTF">2016-11-18T11:30:00Z</dcterms:created>
  <dcterms:modified xsi:type="dcterms:W3CDTF">2016-11-18T11:30:00Z</dcterms:modified>
</cp:coreProperties>
</file>