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143" w:rsidRPr="000A6143" w:rsidRDefault="000A6143" w:rsidP="000A6143">
      <w:pPr>
        <w:spacing w:after="160" w:line="259" w:lineRule="auto"/>
        <w:jc w:val="right"/>
        <w:rPr>
          <w:rFonts w:eastAsia="Calibri"/>
          <w:b/>
          <w:color w:val="FF0000"/>
          <w:sz w:val="28"/>
          <w:szCs w:val="22"/>
          <w:lang w:eastAsia="en-US"/>
        </w:rPr>
      </w:pPr>
      <w:r w:rsidRPr="000A6143">
        <w:rPr>
          <w:rFonts w:eastAsia="Calibri"/>
          <w:b/>
          <w:color w:val="FF0000"/>
          <w:sz w:val="28"/>
          <w:szCs w:val="22"/>
          <w:lang w:eastAsia="en-US"/>
        </w:rPr>
        <w:t>TERVEZET!</w:t>
      </w:r>
    </w:p>
    <w:p w:rsidR="000A6143" w:rsidRPr="000A6143" w:rsidRDefault="000A6143" w:rsidP="000A6143">
      <w:pPr>
        <w:spacing w:line="360" w:lineRule="auto"/>
        <w:jc w:val="center"/>
        <w:rPr>
          <w:b/>
          <w:sz w:val="28"/>
          <w:szCs w:val="28"/>
        </w:rPr>
      </w:pPr>
      <w:r w:rsidRPr="000A6143">
        <w:rPr>
          <w:b/>
          <w:sz w:val="28"/>
          <w:szCs w:val="28"/>
        </w:rPr>
        <w:t>Az OKT véleménye</w:t>
      </w:r>
    </w:p>
    <w:p w:rsidR="000A6143" w:rsidRPr="000A6143" w:rsidRDefault="000A6143" w:rsidP="000A6143">
      <w:pPr>
        <w:spacing w:line="360" w:lineRule="auto"/>
        <w:jc w:val="center"/>
        <w:rPr>
          <w:b/>
          <w:sz w:val="28"/>
          <w:szCs w:val="28"/>
        </w:rPr>
      </w:pPr>
      <w:proofErr w:type="gramStart"/>
      <w:r w:rsidRPr="000A6143">
        <w:rPr>
          <w:b/>
          <w:sz w:val="28"/>
          <w:szCs w:val="28"/>
        </w:rPr>
        <w:t>a</w:t>
      </w:r>
      <w:proofErr w:type="gramEnd"/>
      <w:r w:rsidRPr="000A6143">
        <w:rPr>
          <w:b/>
          <w:sz w:val="28"/>
          <w:szCs w:val="28"/>
        </w:rPr>
        <w:t xml:space="preserve"> „MAGYARORSZÁG ÁTMENETI NEMZETI TERVE a nagy tüzelőberendezések légszennyezőanyag kibocsátásának csökkentésére” c. dokumentumhoz készült környezeti értékelésről</w:t>
      </w:r>
    </w:p>
    <w:p w:rsidR="000A6143" w:rsidRPr="000A6143" w:rsidRDefault="000A6143" w:rsidP="000A6143">
      <w:pPr>
        <w:spacing w:after="160" w:line="259" w:lineRule="auto"/>
        <w:rPr>
          <w:rFonts w:eastAsia="Calibri"/>
          <w:b/>
          <w:szCs w:val="24"/>
          <w:lang w:eastAsia="en-US"/>
        </w:rPr>
      </w:pPr>
      <w:r w:rsidRPr="000A6143">
        <w:rPr>
          <w:rFonts w:eastAsia="Calibri"/>
          <w:b/>
          <w:szCs w:val="24"/>
          <w:lang w:eastAsia="en-US"/>
        </w:rPr>
        <w:t>Előzmények</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 xml:space="preserve">Az Országos Környezetvédelmi Tanács 2014. július 21-én kapta meg az </w:t>
      </w:r>
      <w:proofErr w:type="spellStart"/>
      <w:r w:rsidRPr="000A6143">
        <w:rPr>
          <w:rFonts w:eastAsia="Calibri"/>
          <w:szCs w:val="24"/>
          <w:lang w:eastAsia="en-US"/>
        </w:rPr>
        <w:t>FM-től</w:t>
      </w:r>
      <w:proofErr w:type="spellEnd"/>
      <w:r w:rsidRPr="000A6143">
        <w:rPr>
          <w:rFonts w:eastAsia="Calibri"/>
          <w:szCs w:val="24"/>
          <w:lang w:eastAsia="en-US"/>
        </w:rPr>
        <w:t xml:space="preserve"> a „MAGYARORSZÁG ÁTMENETI NEMZETI TERVE a nagy tüzelőberendezések légszennyezőanyag kibocsátásának csökkentésére az ipari kibocsátásokról szóló 2010/75/EU európai parlamenti és tanácsi irányelv 32. cikke alapján” c. dokumentumot (2. verzió, a továbbiakban ÁNT) és az ahhoz készült környezeti értékelést (stratégiai környezeti vizsgálatot SKV), ez utóbbit véleményezésre. Az iratok tanulmányozása során megállapítottuk, hogy az ÁNT mellékletei közvetlenül, a </w:t>
      </w:r>
      <w:proofErr w:type="spellStart"/>
      <w:r w:rsidRPr="000A6143">
        <w:rPr>
          <w:rFonts w:eastAsia="Calibri"/>
          <w:szCs w:val="24"/>
          <w:lang w:eastAsia="en-US"/>
        </w:rPr>
        <w:t>FM-től</w:t>
      </w:r>
      <w:proofErr w:type="spellEnd"/>
      <w:r w:rsidRPr="000A6143">
        <w:rPr>
          <w:rFonts w:eastAsia="Calibri"/>
          <w:szCs w:val="24"/>
          <w:lang w:eastAsia="en-US"/>
        </w:rPr>
        <w:t xml:space="preserve"> kapott útmutatások alapján nem hozzáférhetők, ezért az OKT Titkársága később ezeket ugyancsak megkérte. Az értékeléshez és véleményalkotáshoz szükséges dokumentumok 2014. augusztus 4-én érkeztek be, és az FM az OKT véleményezési határidejét augusztus 15-ig kiterjesztette.</w:t>
      </w:r>
    </w:p>
    <w:p w:rsidR="000A6143" w:rsidRPr="000A6143" w:rsidRDefault="000A6143" w:rsidP="000A6143">
      <w:pPr>
        <w:spacing w:after="160" w:line="259" w:lineRule="auto"/>
        <w:rPr>
          <w:rFonts w:eastAsia="Calibri"/>
          <w:b/>
          <w:szCs w:val="24"/>
          <w:lang w:eastAsia="en-US"/>
        </w:rPr>
      </w:pPr>
      <w:r w:rsidRPr="000A6143">
        <w:rPr>
          <w:rFonts w:eastAsia="Calibri"/>
          <w:b/>
          <w:szCs w:val="24"/>
          <w:lang w:eastAsia="en-US"/>
        </w:rPr>
        <w:t>Az Átmeneti Nemzeti Terv célja és tartalmának legfontosabb elemei</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Az EU 2010/75/EU európai parlamenti és tanácsi irányelve (</w:t>
      </w:r>
      <w:proofErr w:type="gramStart"/>
      <w:r w:rsidRPr="000A6143">
        <w:rPr>
          <w:rFonts w:eastAsia="Calibri"/>
          <w:szCs w:val="24"/>
          <w:lang w:eastAsia="en-US"/>
        </w:rPr>
        <w:t>IED</w:t>
      </w:r>
      <w:r w:rsidRPr="000A6143">
        <w:rPr>
          <w:rFonts w:eastAsia="Calibri"/>
          <w:szCs w:val="24"/>
          <w:vertAlign w:val="superscript"/>
          <w:lang w:eastAsia="en-US"/>
        </w:rPr>
        <w:footnoteReference w:id="1"/>
      </w:r>
      <w:r w:rsidRPr="000A6143">
        <w:rPr>
          <w:rFonts w:eastAsia="Calibri"/>
          <w:szCs w:val="24"/>
          <w:lang w:eastAsia="en-US"/>
        </w:rPr>
        <w:t>)</w:t>
      </w:r>
      <w:proofErr w:type="gramEnd"/>
      <w:r w:rsidRPr="000A6143">
        <w:rPr>
          <w:rFonts w:eastAsia="Calibri"/>
          <w:szCs w:val="24"/>
          <w:lang w:eastAsia="en-US"/>
        </w:rPr>
        <w:t xml:space="preserve"> az ipari kibocsátások körében szabályozza a nagy (50 MW bemenő </w:t>
      </w:r>
      <w:proofErr w:type="spellStart"/>
      <w:r w:rsidRPr="000A6143">
        <w:rPr>
          <w:rFonts w:eastAsia="Calibri"/>
          <w:szCs w:val="24"/>
          <w:lang w:eastAsia="en-US"/>
        </w:rPr>
        <w:t>hőteljesítmény</w:t>
      </w:r>
      <w:proofErr w:type="spellEnd"/>
      <w:r w:rsidRPr="000A6143">
        <w:rPr>
          <w:rFonts w:eastAsia="Calibri"/>
          <w:szCs w:val="24"/>
          <w:lang w:eastAsia="en-US"/>
        </w:rPr>
        <w:t xml:space="preserve"> felett</w:t>
      </w:r>
      <w:r w:rsidR="00902199">
        <w:rPr>
          <w:rFonts w:eastAsia="Calibri"/>
          <w:szCs w:val="24"/>
          <w:lang w:eastAsia="en-US"/>
        </w:rPr>
        <w:t>i</w:t>
      </w:r>
      <w:r w:rsidRPr="000A6143">
        <w:rPr>
          <w:rFonts w:eastAsia="Calibri"/>
          <w:szCs w:val="24"/>
          <w:lang w:eastAsia="en-US"/>
        </w:rPr>
        <w:t>) tüzelőberendezésekből származó egyes szennyező anyagok levegőbe történő kibocsátásának határértékeit. Az IED értelmében azok a nagy tüzelőberendezések, amelyek csak nagy befektetést igénylő átalakítással válnának képessé 2016-ig a határértékek teljesítésére – meghatározott feltételek teljesítése esetén – az IED követelményeit késleltetetten teljesíthetik. Ez utóbbi lehetőség egyik megvalósítási formája az ÁNT, amelyben felsorolt berendezések üzemeltetőinek 2016. január elsejétől (országos szinten) úgy kell csökkenteniük az egyes szennyezők kibocsátását, hogy legkésőbb 2020. június 30-ig elérjék az IED szerinti határértékeket.</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 xml:space="preserve">Az ÁNT tervezetét a kormányzat megküldte az EU részére, és miután a Bizottság – időközi konzultációkat is követően – nem emelt ellene kifogást, a terv </w:t>
      </w:r>
      <w:proofErr w:type="gramStart"/>
      <w:r w:rsidRPr="000A6143">
        <w:rPr>
          <w:rFonts w:eastAsia="Calibri"/>
          <w:szCs w:val="24"/>
          <w:lang w:eastAsia="en-US"/>
        </w:rPr>
        <w:t>2013. októberében</w:t>
      </w:r>
      <w:proofErr w:type="gramEnd"/>
      <w:r w:rsidRPr="000A6143">
        <w:rPr>
          <w:rFonts w:eastAsia="Calibri"/>
          <w:szCs w:val="24"/>
          <w:lang w:eastAsia="en-US"/>
        </w:rPr>
        <w:t xml:space="preserve"> véglegessé vált.</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 xml:space="preserve">Az ÁNT alkalmazásának feltételeit 8 különböző üzemeltető összesen 15 </w:t>
      </w:r>
      <w:proofErr w:type="spellStart"/>
      <w:r w:rsidRPr="000A6143">
        <w:rPr>
          <w:rFonts w:eastAsia="Calibri"/>
          <w:szCs w:val="24"/>
          <w:lang w:eastAsia="en-US"/>
        </w:rPr>
        <w:t>hőerőművi</w:t>
      </w:r>
      <w:proofErr w:type="spellEnd"/>
      <w:r w:rsidRPr="000A6143">
        <w:rPr>
          <w:rFonts w:eastAsia="Calibri"/>
          <w:szCs w:val="24"/>
          <w:lang w:eastAsia="en-US"/>
        </w:rPr>
        <w:t xml:space="preserve">, illetve </w:t>
      </w:r>
      <w:proofErr w:type="spellStart"/>
      <w:r w:rsidRPr="000A6143">
        <w:rPr>
          <w:rFonts w:eastAsia="Calibri"/>
          <w:szCs w:val="24"/>
          <w:lang w:eastAsia="en-US"/>
        </w:rPr>
        <w:t>fűtőerőművi</w:t>
      </w:r>
      <w:proofErr w:type="spellEnd"/>
      <w:r w:rsidRPr="000A6143">
        <w:rPr>
          <w:rFonts w:eastAsia="Calibri"/>
          <w:szCs w:val="24"/>
          <w:lang w:eastAsia="en-US"/>
        </w:rPr>
        <w:t xml:space="preserve"> tüzelőberendezése teljesítette, a terv ezekre vonatkozik. A berendezések </w:t>
      </w:r>
      <w:r w:rsidRPr="000A6143">
        <w:rPr>
          <w:rFonts w:eastAsia="Calibri"/>
          <w:szCs w:val="24"/>
          <w:lang w:eastAsia="en-US"/>
        </w:rPr>
        <w:lastRenderedPageBreak/>
        <w:t xml:space="preserve">országszerte hét telephelyen (Ajka, Budapest, Dorog, Dunaújváros, Győr, Miskolc, Visonta) működnek. Ezek paramétereit az ÁNT 1. melléklete tartalmazza. Az ÁNT 2. mellékletében található a tüzelőberendezések 2016. évi megengedett kén-dioxid, nitrogén-oxid és por </w:t>
      </w:r>
      <w:proofErr w:type="spellStart"/>
      <w:r w:rsidRPr="000A6143">
        <w:rPr>
          <w:rFonts w:eastAsia="Calibri"/>
          <w:szCs w:val="24"/>
          <w:lang w:eastAsia="en-US"/>
        </w:rPr>
        <w:t>összkibocsátása</w:t>
      </w:r>
      <w:proofErr w:type="spellEnd"/>
      <w:r w:rsidRPr="000A6143">
        <w:rPr>
          <w:rFonts w:eastAsia="Calibri"/>
          <w:szCs w:val="24"/>
          <w:lang w:eastAsia="en-US"/>
        </w:rPr>
        <w:t xml:space="preserve"> a jelenleg érvényes kibocsátási határértékek és az átlagos füstgázáram alapján számítva. Ezek az alábbiak (kerekített értékek t/év mértékegységben):</w:t>
      </w:r>
    </w:p>
    <w:tbl>
      <w:tblPr>
        <w:tblStyle w:val="Rcsostblzat"/>
        <w:tblW w:w="0" w:type="auto"/>
        <w:jc w:val="center"/>
        <w:tblLayout w:type="fixed"/>
        <w:tblLook w:val="04A0" w:firstRow="1" w:lastRow="0" w:firstColumn="1" w:lastColumn="0" w:noHBand="0" w:noVBand="1"/>
      </w:tblPr>
      <w:tblGrid>
        <w:gridCol w:w="1701"/>
        <w:gridCol w:w="878"/>
        <w:gridCol w:w="879"/>
        <w:gridCol w:w="879"/>
        <w:gridCol w:w="879"/>
        <w:gridCol w:w="879"/>
        <w:gridCol w:w="1701"/>
      </w:tblGrid>
      <w:tr w:rsidR="000A6143" w:rsidRPr="000A6143" w:rsidTr="009354D6">
        <w:trPr>
          <w:jc w:val="center"/>
        </w:trPr>
        <w:tc>
          <w:tcPr>
            <w:tcW w:w="1701" w:type="dxa"/>
            <w:shd w:val="clear" w:color="auto" w:fill="D9D9D9" w:themeFill="background1" w:themeFillShade="D9"/>
            <w:vAlign w:val="center"/>
          </w:tcPr>
          <w:p w:rsidR="000A6143" w:rsidRPr="000A6143" w:rsidRDefault="000A6143" w:rsidP="000A6143">
            <w:pPr>
              <w:jc w:val="center"/>
              <w:rPr>
                <w:rFonts w:ascii="Times New Roman" w:hAnsi="Times New Roman"/>
                <w:sz w:val="24"/>
                <w:szCs w:val="24"/>
              </w:rPr>
            </w:pPr>
            <w:r w:rsidRPr="000A6143">
              <w:rPr>
                <w:rFonts w:ascii="Times New Roman" w:hAnsi="Times New Roman"/>
                <w:sz w:val="24"/>
                <w:szCs w:val="24"/>
              </w:rPr>
              <w:t>Szennyező</w:t>
            </w:r>
          </w:p>
        </w:tc>
        <w:tc>
          <w:tcPr>
            <w:tcW w:w="878" w:type="dxa"/>
            <w:shd w:val="clear" w:color="auto" w:fill="D9D9D9" w:themeFill="background1" w:themeFillShade="D9"/>
            <w:vAlign w:val="center"/>
          </w:tcPr>
          <w:p w:rsidR="000A6143" w:rsidRPr="000A6143" w:rsidRDefault="000A6143" w:rsidP="000A6143">
            <w:pPr>
              <w:jc w:val="center"/>
              <w:rPr>
                <w:rFonts w:ascii="Times New Roman" w:hAnsi="Times New Roman"/>
                <w:sz w:val="24"/>
                <w:szCs w:val="24"/>
              </w:rPr>
            </w:pPr>
            <w:r w:rsidRPr="000A6143">
              <w:rPr>
                <w:rFonts w:ascii="Times New Roman" w:hAnsi="Times New Roman"/>
                <w:sz w:val="24"/>
                <w:szCs w:val="24"/>
              </w:rPr>
              <w:t>2016</w:t>
            </w:r>
          </w:p>
        </w:tc>
        <w:tc>
          <w:tcPr>
            <w:tcW w:w="879" w:type="dxa"/>
            <w:shd w:val="clear" w:color="auto" w:fill="D9D9D9" w:themeFill="background1" w:themeFillShade="D9"/>
            <w:vAlign w:val="center"/>
          </w:tcPr>
          <w:p w:rsidR="000A6143" w:rsidRPr="000A6143" w:rsidRDefault="000A6143" w:rsidP="000A6143">
            <w:pPr>
              <w:jc w:val="center"/>
              <w:rPr>
                <w:rFonts w:ascii="Times New Roman" w:hAnsi="Times New Roman"/>
                <w:sz w:val="24"/>
                <w:szCs w:val="24"/>
              </w:rPr>
            </w:pPr>
            <w:r w:rsidRPr="000A6143">
              <w:rPr>
                <w:rFonts w:ascii="Times New Roman" w:hAnsi="Times New Roman"/>
                <w:sz w:val="24"/>
                <w:szCs w:val="24"/>
              </w:rPr>
              <w:t>2017</w:t>
            </w:r>
          </w:p>
        </w:tc>
        <w:tc>
          <w:tcPr>
            <w:tcW w:w="879" w:type="dxa"/>
            <w:shd w:val="clear" w:color="auto" w:fill="D9D9D9" w:themeFill="background1" w:themeFillShade="D9"/>
            <w:vAlign w:val="center"/>
          </w:tcPr>
          <w:p w:rsidR="000A6143" w:rsidRPr="000A6143" w:rsidRDefault="000A6143" w:rsidP="000A6143">
            <w:pPr>
              <w:jc w:val="center"/>
              <w:rPr>
                <w:rFonts w:ascii="Times New Roman" w:hAnsi="Times New Roman"/>
                <w:sz w:val="24"/>
                <w:szCs w:val="24"/>
              </w:rPr>
            </w:pPr>
            <w:r w:rsidRPr="000A6143">
              <w:rPr>
                <w:rFonts w:ascii="Times New Roman" w:hAnsi="Times New Roman"/>
                <w:sz w:val="24"/>
                <w:szCs w:val="24"/>
              </w:rPr>
              <w:t>2018</w:t>
            </w:r>
          </w:p>
        </w:tc>
        <w:tc>
          <w:tcPr>
            <w:tcW w:w="879" w:type="dxa"/>
            <w:shd w:val="clear" w:color="auto" w:fill="D9D9D9" w:themeFill="background1" w:themeFillShade="D9"/>
            <w:vAlign w:val="center"/>
          </w:tcPr>
          <w:p w:rsidR="000A6143" w:rsidRPr="000A6143" w:rsidRDefault="000A6143" w:rsidP="000A6143">
            <w:pPr>
              <w:jc w:val="center"/>
              <w:rPr>
                <w:rFonts w:ascii="Times New Roman" w:hAnsi="Times New Roman"/>
                <w:sz w:val="24"/>
                <w:szCs w:val="24"/>
              </w:rPr>
            </w:pPr>
            <w:r w:rsidRPr="000A6143">
              <w:rPr>
                <w:rFonts w:ascii="Times New Roman" w:hAnsi="Times New Roman"/>
                <w:sz w:val="24"/>
                <w:szCs w:val="24"/>
              </w:rPr>
              <w:t>2019</w:t>
            </w:r>
          </w:p>
        </w:tc>
        <w:tc>
          <w:tcPr>
            <w:tcW w:w="879" w:type="dxa"/>
            <w:shd w:val="clear" w:color="auto" w:fill="D9D9D9" w:themeFill="background1" w:themeFillShade="D9"/>
            <w:vAlign w:val="center"/>
          </w:tcPr>
          <w:p w:rsidR="000A6143" w:rsidRPr="000A6143" w:rsidRDefault="000A6143" w:rsidP="000A6143">
            <w:pPr>
              <w:jc w:val="center"/>
              <w:rPr>
                <w:rFonts w:ascii="Times New Roman" w:hAnsi="Times New Roman"/>
                <w:sz w:val="24"/>
                <w:szCs w:val="24"/>
              </w:rPr>
            </w:pPr>
            <w:r w:rsidRPr="000A6143">
              <w:rPr>
                <w:rFonts w:ascii="Times New Roman" w:hAnsi="Times New Roman"/>
                <w:sz w:val="24"/>
                <w:szCs w:val="24"/>
              </w:rPr>
              <w:t>2020</w:t>
            </w:r>
          </w:p>
        </w:tc>
        <w:tc>
          <w:tcPr>
            <w:tcW w:w="1701" w:type="dxa"/>
            <w:shd w:val="clear" w:color="auto" w:fill="D9D9D9" w:themeFill="background1" w:themeFillShade="D9"/>
          </w:tcPr>
          <w:p w:rsidR="000A6143" w:rsidRPr="000A6143" w:rsidRDefault="000A6143" w:rsidP="000A6143">
            <w:pPr>
              <w:jc w:val="center"/>
              <w:rPr>
                <w:rFonts w:ascii="Times New Roman" w:hAnsi="Times New Roman"/>
                <w:sz w:val="24"/>
                <w:szCs w:val="24"/>
              </w:rPr>
            </w:pPr>
            <w:r w:rsidRPr="000A6143">
              <w:rPr>
                <w:rFonts w:ascii="Times New Roman" w:hAnsi="Times New Roman"/>
                <w:sz w:val="24"/>
                <w:szCs w:val="24"/>
              </w:rPr>
              <w:t>Teljes csökkentés mértéke (%)</w:t>
            </w:r>
          </w:p>
        </w:tc>
      </w:tr>
      <w:tr w:rsidR="000A6143" w:rsidRPr="000A6143" w:rsidTr="009354D6">
        <w:trPr>
          <w:jc w:val="center"/>
        </w:trPr>
        <w:tc>
          <w:tcPr>
            <w:tcW w:w="1701" w:type="dxa"/>
          </w:tcPr>
          <w:p w:rsidR="000A6143" w:rsidRPr="000A6143" w:rsidRDefault="000A6143" w:rsidP="000A6143">
            <w:pPr>
              <w:rPr>
                <w:rFonts w:ascii="Times New Roman" w:hAnsi="Times New Roman"/>
                <w:sz w:val="24"/>
                <w:szCs w:val="24"/>
              </w:rPr>
            </w:pPr>
            <w:r w:rsidRPr="000A6143">
              <w:rPr>
                <w:rFonts w:ascii="Times New Roman" w:hAnsi="Times New Roman"/>
                <w:sz w:val="24"/>
                <w:szCs w:val="24"/>
              </w:rPr>
              <w:t>Kén-dioxid</w:t>
            </w:r>
          </w:p>
        </w:tc>
        <w:tc>
          <w:tcPr>
            <w:tcW w:w="878"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12 990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10 270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7 550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4 830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2 416</w:t>
            </w:r>
          </w:p>
        </w:tc>
        <w:tc>
          <w:tcPr>
            <w:tcW w:w="1701" w:type="dxa"/>
            <w:vAlign w:val="center"/>
          </w:tcPr>
          <w:p w:rsidR="000A6143" w:rsidRPr="000A6143" w:rsidRDefault="000A6143" w:rsidP="000A6143">
            <w:pPr>
              <w:jc w:val="center"/>
              <w:rPr>
                <w:rFonts w:ascii="Times New Roman" w:hAnsi="Times New Roman"/>
                <w:sz w:val="24"/>
                <w:szCs w:val="24"/>
              </w:rPr>
            </w:pPr>
            <w:r w:rsidRPr="000A6143">
              <w:rPr>
                <w:rFonts w:ascii="Times New Roman" w:hAnsi="Times New Roman"/>
                <w:sz w:val="24"/>
                <w:szCs w:val="24"/>
              </w:rPr>
              <w:t>81,4</w:t>
            </w:r>
          </w:p>
        </w:tc>
      </w:tr>
      <w:tr w:rsidR="000A6143" w:rsidRPr="000A6143" w:rsidTr="009354D6">
        <w:trPr>
          <w:jc w:val="center"/>
        </w:trPr>
        <w:tc>
          <w:tcPr>
            <w:tcW w:w="1701" w:type="dxa"/>
          </w:tcPr>
          <w:p w:rsidR="000A6143" w:rsidRPr="000A6143" w:rsidRDefault="000A6143" w:rsidP="000A6143">
            <w:pPr>
              <w:rPr>
                <w:rFonts w:ascii="Times New Roman" w:hAnsi="Times New Roman"/>
                <w:sz w:val="24"/>
                <w:szCs w:val="24"/>
              </w:rPr>
            </w:pPr>
            <w:r w:rsidRPr="000A6143">
              <w:rPr>
                <w:rFonts w:ascii="Times New Roman" w:hAnsi="Times New Roman"/>
                <w:sz w:val="24"/>
                <w:szCs w:val="24"/>
              </w:rPr>
              <w:t>Nitrogén-oxidok</w:t>
            </w:r>
          </w:p>
        </w:tc>
        <w:tc>
          <w:tcPr>
            <w:tcW w:w="878"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3 970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3 600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3 240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2 870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1 436</w:t>
            </w:r>
          </w:p>
        </w:tc>
        <w:tc>
          <w:tcPr>
            <w:tcW w:w="1701" w:type="dxa"/>
            <w:vAlign w:val="center"/>
          </w:tcPr>
          <w:p w:rsidR="000A6143" w:rsidRPr="000A6143" w:rsidRDefault="000A6143" w:rsidP="000A6143">
            <w:pPr>
              <w:jc w:val="center"/>
              <w:rPr>
                <w:rFonts w:ascii="Times New Roman" w:hAnsi="Times New Roman"/>
                <w:sz w:val="24"/>
                <w:szCs w:val="24"/>
              </w:rPr>
            </w:pPr>
            <w:r w:rsidRPr="000A6143">
              <w:rPr>
                <w:rFonts w:ascii="Times New Roman" w:hAnsi="Times New Roman"/>
                <w:sz w:val="24"/>
                <w:szCs w:val="24"/>
              </w:rPr>
              <w:t>63,8</w:t>
            </w:r>
          </w:p>
        </w:tc>
      </w:tr>
      <w:tr w:rsidR="000A6143" w:rsidRPr="000A6143" w:rsidTr="009354D6">
        <w:trPr>
          <w:jc w:val="center"/>
        </w:trPr>
        <w:tc>
          <w:tcPr>
            <w:tcW w:w="1701" w:type="dxa"/>
          </w:tcPr>
          <w:p w:rsidR="000A6143" w:rsidRPr="000A6143" w:rsidRDefault="000A6143" w:rsidP="000A6143">
            <w:pPr>
              <w:rPr>
                <w:rFonts w:ascii="Times New Roman" w:hAnsi="Times New Roman"/>
                <w:sz w:val="24"/>
                <w:szCs w:val="24"/>
              </w:rPr>
            </w:pPr>
            <w:r w:rsidRPr="000A6143">
              <w:rPr>
                <w:rFonts w:ascii="Times New Roman" w:hAnsi="Times New Roman"/>
                <w:sz w:val="24"/>
                <w:szCs w:val="24"/>
              </w:rPr>
              <w:t>Por</w:t>
            </w:r>
          </w:p>
        </w:tc>
        <w:tc>
          <w:tcPr>
            <w:tcW w:w="878"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1 160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920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690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450</w:t>
            </w:r>
          </w:p>
        </w:tc>
        <w:tc>
          <w:tcPr>
            <w:tcW w:w="879" w:type="dxa"/>
          </w:tcPr>
          <w:p w:rsidR="000A6143" w:rsidRPr="000A6143" w:rsidRDefault="000A6143" w:rsidP="000A6143">
            <w:pPr>
              <w:jc w:val="right"/>
              <w:rPr>
                <w:rFonts w:ascii="Times New Roman" w:hAnsi="Times New Roman"/>
                <w:sz w:val="24"/>
                <w:szCs w:val="24"/>
              </w:rPr>
            </w:pPr>
            <w:r w:rsidRPr="000A6143">
              <w:rPr>
                <w:rFonts w:ascii="Times New Roman" w:hAnsi="Times New Roman"/>
                <w:sz w:val="24"/>
                <w:szCs w:val="24"/>
              </w:rPr>
              <w:t>226</w:t>
            </w:r>
          </w:p>
        </w:tc>
        <w:tc>
          <w:tcPr>
            <w:tcW w:w="1701" w:type="dxa"/>
            <w:vAlign w:val="center"/>
          </w:tcPr>
          <w:p w:rsidR="000A6143" w:rsidRPr="000A6143" w:rsidRDefault="000A6143" w:rsidP="000A6143">
            <w:pPr>
              <w:jc w:val="center"/>
              <w:rPr>
                <w:rFonts w:ascii="Times New Roman" w:hAnsi="Times New Roman"/>
                <w:sz w:val="24"/>
                <w:szCs w:val="24"/>
              </w:rPr>
            </w:pPr>
            <w:r w:rsidRPr="000A6143">
              <w:rPr>
                <w:rFonts w:ascii="Times New Roman" w:hAnsi="Times New Roman"/>
                <w:sz w:val="24"/>
                <w:szCs w:val="24"/>
              </w:rPr>
              <w:t>80,5</w:t>
            </w:r>
          </w:p>
        </w:tc>
      </w:tr>
    </w:tbl>
    <w:p w:rsidR="000A6143" w:rsidRPr="000A6143" w:rsidRDefault="000A6143" w:rsidP="000A6143">
      <w:pPr>
        <w:spacing w:after="160" w:line="259" w:lineRule="auto"/>
        <w:rPr>
          <w:rFonts w:eastAsia="Calibri"/>
          <w:szCs w:val="24"/>
          <w:lang w:eastAsia="en-US"/>
        </w:rPr>
      </w:pP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A táblázat adatainak áttekintése alapján megállapítható, hogy az ÁNT általi kedvezmény megkérése a kormányzat részéről feltétlenül indokolt és helyénvaló volt, miután az érintett berendezéseknek egyenként és együtt jelentős intézkedéseket kell viszonylag rövid határidőre foganatosítaniuk, miközben túlnyomó többségük üzemszerű működése Magyarország hő- és villamosenergia-ellátásában nélkülözhetetlen.</w:t>
      </w:r>
    </w:p>
    <w:p w:rsidR="000A6143" w:rsidRPr="000A6143" w:rsidRDefault="000A6143" w:rsidP="000A6143">
      <w:pPr>
        <w:spacing w:after="160" w:line="259" w:lineRule="auto"/>
        <w:jc w:val="both"/>
        <w:rPr>
          <w:rFonts w:eastAsia="Calibri"/>
          <w:b/>
          <w:szCs w:val="24"/>
          <w:lang w:eastAsia="en-US"/>
        </w:rPr>
      </w:pPr>
      <w:r w:rsidRPr="000A6143">
        <w:rPr>
          <w:rFonts w:eastAsia="Calibri"/>
          <w:b/>
          <w:szCs w:val="24"/>
          <w:lang w:eastAsia="en-US"/>
        </w:rPr>
        <w:t>A környezeti értékelésről</w:t>
      </w:r>
    </w:p>
    <w:p w:rsidR="000A6143" w:rsidRPr="000A6143" w:rsidRDefault="000A6143" w:rsidP="000A6143">
      <w:pPr>
        <w:spacing w:after="160" w:line="259" w:lineRule="auto"/>
        <w:jc w:val="both"/>
        <w:rPr>
          <w:rFonts w:eastAsia="Calibri"/>
          <w:b/>
          <w:szCs w:val="24"/>
          <w:lang w:eastAsia="en-US"/>
        </w:rPr>
      </w:pPr>
      <w:r w:rsidRPr="000A6143">
        <w:rPr>
          <w:rFonts w:eastAsia="Calibri"/>
          <w:szCs w:val="24"/>
          <w:lang w:eastAsia="en-US"/>
        </w:rPr>
        <w:t xml:space="preserve">A végleges </w:t>
      </w:r>
      <w:proofErr w:type="spellStart"/>
      <w:r w:rsidRPr="000A6143">
        <w:rPr>
          <w:rFonts w:eastAsia="Calibri"/>
          <w:szCs w:val="24"/>
          <w:lang w:eastAsia="en-US"/>
        </w:rPr>
        <w:t>ÁNT-ről</w:t>
      </w:r>
      <w:proofErr w:type="spellEnd"/>
      <w:r w:rsidRPr="000A6143">
        <w:rPr>
          <w:rFonts w:eastAsia="Calibri"/>
          <w:szCs w:val="24"/>
          <w:lang w:eastAsia="en-US"/>
        </w:rPr>
        <w:t xml:space="preserve"> környezeti értékelés készült, amelyet az </w:t>
      </w:r>
      <w:proofErr w:type="spellStart"/>
      <w:r w:rsidRPr="000A6143">
        <w:rPr>
          <w:rFonts w:eastAsia="Calibri"/>
          <w:szCs w:val="24"/>
          <w:lang w:eastAsia="en-US"/>
        </w:rPr>
        <w:t>ÁNT-hez</w:t>
      </w:r>
      <w:proofErr w:type="spellEnd"/>
      <w:r w:rsidRPr="000A6143">
        <w:rPr>
          <w:rFonts w:eastAsia="Calibri"/>
          <w:szCs w:val="24"/>
          <w:lang w:eastAsia="en-US"/>
        </w:rPr>
        <w:t xml:space="preserve"> hasonlóan a Nemzeti Környezetügyi Intézet jegyez. </w:t>
      </w:r>
      <w:r w:rsidRPr="000A6143">
        <w:rPr>
          <w:rFonts w:eastAsia="Calibri"/>
          <w:b/>
          <w:szCs w:val="24"/>
          <w:lang w:eastAsia="en-US"/>
        </w:rPr>
        <w:t xml:space="preserve">Ez a körülmény az OKT szerint nem felel meg a korábban általánosan követett gyakorlatnak. </w:t>
      </w:r>
    </w:p>
    <w:p w:rsidR="000A6143" w:rsidRPr="000A6143" w:rsidRDefault="000A6143" w:rsidP="000A6143">
      <w:pPr>
        <w:spacing w:after="160" w:line="259" w:lineRule="auto"/>
        <w:jc w:val="both"/>
        <w:rPr>
          <w:rFonts w:eastAsia="Calibri"/>
          <w:b/>
          <w:szCs w:val="24"/>
          <w:lang w:eastAsia="en-US"/>
        </w:rPr>
      </w:pPr>
      <w:r w:rsidRPr="000A6143">
        <w:rPr>
          <w:rFonts w:eastAsia="Calibri"/>
          <w:b/>
          <w:szCs w:val="24"/>
          <w:lang w:eastAsia="en-US"/>
        </w:rPr>
        <w:t xml:space="preserve">A tanulmányt az OKT mint stratégiai környezeti vizsgálatot tekintette és ennek megfelelően nyilvánít arról véleményt. </w:t>
      </w:r>
    </w:p>
    <w:p w:rsidR="000A6143" w:rsidRPr="000A6143" w:rsidRDefault="000A6143" w:rsidP="000A6143">
      <w:pPr>
        <w:spacing w:after="160" w:line="259" w:lineRule="auto"/>
        <w:jc w:val="both"/>
        <w:rPr>
          <w:rFonts w:eastAsia="Calibri"/>
          <w:szCs w:val="24"/>
          <w:lang w:eastAsia="en-US"/>
        </w:rPr>
      </w:pPr>
      <w:r w:rsidRPr="000A6143">
        <w:rPr>
          <w:rFonts w:eastAsia="Calibri"/>
          <w:b/>
          <w:szCs w:val="24"/>
          <w:lang w:eastAsia="en-US"/>
        </w:rPr>
        <w:t>Az OKT nehezményezi, hogy az SKV az ÁNT véglegesítését követően készült</w:t>
      </w:r>
      <w:r w:rsidRPr="000A6143">
        <w:rPr>
          <w:rFonts w:eastAsia="Calibri"/>
          <w:szCs w:val="24"/>
          <w:lang w:eastAsia="en-US"/>
        </w:rPr>
        <w:t xml:space="preserve"> (végleges változatának dátuma 2014. július 22.). Ennek megfelelően az abban foglalt javasolt intézkedések az </w:t>
      </w:r>
      <w:proofErr w:type="spellStart"/>
      <w:r w:rsidRPr="000A6143">
        <w:rPr>
          <w:rFonts w:eastAsia="Calibri"/>
          <w:szCs w:val="24"/>
          <w:lang w:eastAsia="en-US"/>
        </w:rPr>
        <w:t>ÁNT-t</w:t>
      </w:r>
      <w:proofErr w:type="spellEnd"/>
      <w:r w:rsidRPr="000A6143">
        <w:rPr>
          <w:rFonts w:eastAsia="Calibri"/>
          <w:szCs w:val="24"/>
          <w:lang w:eastAsia="en-US"/>
        </w:rPr>
        <w:t xml:space="preserve"> magát nem módosíthatják (ez az SKV alapján nem lenne szükséges), de </w:t>
      </w:r>
      <w:r w:rsidRPr="000A6143">
        <w:rPr>
          <w:rFonts w:eastAsia="Calibri"/>
          <w:b/>
          <w:szCs w:val="24"/>
          <w:lang w:eastAsia="en-US"/>
        </w:rPr>
        <w:t xml:space="preserve">az OKT egyetért azzal, hogy ezeket az intézkedéseket az ÁNT időhorizontján hajtsák végre és az illetékes hatóságok és szervek </w:t>
      </w:r>
      <w:r w:rsidRPr="000A6143">
        <w:rPr>
          <w:rFonts w:eastAsia="Calibri"/>
          <w:szCs w:val="24"/>
          <w:lang w:eastAsia="en-US"/>
        </w:rPr>
        <w:t xml:space="preserve">(felügyelőségek, ÁNTSZ) </w:t>
      </w:r>
      <w:r w:rsidRPr="000A6143">
        <w:rPr>
          <w:rFonts w:eastAsia="Calibri"/>
          <w:b/>
          <w:szCs w:val="24"/>
          <w:lang w:eastAsia="en-US"/>
        </w:rPr>
        <w:t>a végrehajtást és a kibocsátási adatokat rendszeresen ellenőrizzék.</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 xml:space="preserve">Az SKV részletesen elemzi az egyes telephelyek levegőminőségi állapotát, miután végső soron az </w:t>
      </w:r>
      <w:proofErr w:type="spellStart"/>
      <w:r w:rsidRPr="000A6143">
        <w:rPr>
          <w:rFonts w:eastAsia="Calibri"/>
          <w:szCs w:val="24"/>
          <w:lang w:eastAsia="en-US"/>
        </w:rPr>
        <w:t>erőművi</w:t>
      </w:r>
      <w:proofErr w:type="spellEnd"/>
      <w:r w:rsidRPr="000A6143">
        <w:rPr>
          <w:rFonts w:eastAsia="Calibri"/>
          <w:szCs w:val="24"/>
          <w:lang w:eastAsia="en-US"/>
        </w:rPr>
        <w:t xml:space="preserve"> kibocsátások hatása ennek alakulásához járul hozzá, illetve a kibocsátás-csökkentés a légszennyezettség mértékének csökkentését is eredményezi.</w:t>
      </w:r>
      <w:r w:rsidRPr="000A6143">
        <w:rPr>
          <w:rFonts w:eastAsia="Calibri"/>
          <w:b/>
          <w:szCs w:val="24"/>
          <w:lang w:eastAsia="en-US"/>
        </w:rPr>
        <w:t xml:space="preserve"> Az OKT számára is fontos és megnyugtató, hogy a vizsgált településeken a levegőminőségi határértékek túllépése bár nem jelentéktelen számban fordul elő, alapvetően nem az </w:t>
      </w:r>
      <w:proofErr w:type="spellStart"/>
      <w:r w:rsidRPr="000A6143">
        <w:rPr>
          <w:rFonts w:eastAsia="Calibri"/>
          <w:b/>
          <w:szCs w:val="24"/>
          <w:lang w:eastAsia="en-US"/>
        </w:rPr>
        <w:t>erőművi</w:t>
      </w:r>
      <w:proofErr w:type="spellEnd"/>
      <w:r w:rsidRPr="000A6143">
        <w:rPr>
          <w:rFonts w:eastAsia="Calibri"/>
          <w:b/>
          <w:szCs w:val="24"/>
          <w:lang w:eastAsia="en-US"/>
        </w:rPr>
        <w:t xml:space="preserve"> </w:t>
      </w:r>
      <w:r w:rsidRPr="000A6143">
        <w:rPr>
          <w:rFonts w:eastAsia="Calibri"/>
          <w:b/>
          <w:szCs w:val="24"/>
          <w:lang w:eastAsia="en-US"/>
        </w:rPr>
        <w:lastRenderedPageBreak/>
        <w:t>berendezések számlájára írandó.</w:t>
      </w:r>
      <w:r w:rsidRPr="000A6143">
        <w:rPr>
          <w:rFonts w:eastAsia="Calibri"/>
          <w:szCs w:val="24"/>
          <w:lang w:eastAsia="en-US"/>
        </w:rPr>
        <w:t xml:space="preserve"> Miután azonban az IED határértékeinek bevezetése (megközelítése, ill. betartása) által a kibocsátások csökkenése bizonyosra vehető, a levegő minőségének romlásával nem, javulásával annál inkább számolhatunk. Sajnálatos, hogy erre vonatkozóan az SKV nem ad becsléseket, jóllehet belátható, hogy ehhez más ágazatok – főképp a közlekedés és szállítás – kibocsátásainak alakulását is modellezni kellene.</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 xml:space="preserve">Az ÁNT megfelelőségét az SKV szerint az is igazolja, hogy a településeken a legnagyobb levegőminőségi kockázatot jelentő porszennyezés mértékére az érintett erőművek nem gyakorolnak hatást, miután azok a szigorú előírásokat már jelenleg is többnyire betartják. Az ismertetett adatok és érvek alapján az OKT elfogadhatónak tartja az SKV azon megállapítását, miszerint: </w:t>
      </w:r>
      <w:r w:rsidRPr="000A6143">
        <w:rPr>
          <w:rFonts w:eastAsia="Calibri"/>
          <w:i/>
          <w:szCs w:val="24"/>
          <w:lang w:eastAsia="en-US"/>
        </w:rPr>
        <w:t>„Kijelenthető, hogy a kibocsátás-csökkentés ÁNT szerinti, négy évig tartó fokozatos megvalósításának az azonnali csökkentéshez képest nincs értékelhető hatása a levegőterhelésre, ennek eredményeként nem okoz mérhető változást a levegőminőségben.”</w:t>
      </w:r>
    </w:p>
    <w:p w:rsidR="000A6143" w:rsidRPr="000A6143" w:rsidRDefault="000A6143" w:rsidP="000A6143">
      <w:pPr>
        <w:spacing w:after="160" w:line="259" w:lineRule="auto"/>
        <w:jc w:val="both"/>
        <w:rPr>
          <w:rFonts w:eastAsia="Calibri"/>
          <w:szCs w:val="24"/>
          <w:lang w:eastAsia="en-US"/>
        </w:rPr>
      </w:pPr>
      <w:r w:rsidRPr="000A6143">
        <w:rPr>
          <w:rFonts w:eastAsia="Calibri"/>
          <w:b/>
          <w:szCs w:val="24"/>
          <w:lang w:eastAsia="en-US"/>
        </w:rPr>
        <w:t>Az OKT megítélése szerint</w:t>
      </w:r>
      <w:r w:rsidRPr="000A6143">
        <w:rPr>
          <w:rFonts w:eastAsia="Calibri"/>
          <w:szCs w:val="24"/>
          <w:lang w:eastAsia="en-US"/>
        </w:rPr>
        <w:t xml:space="preserve"> </w:t>
      </w:r>
      <w:r w:rsidRPr="000A6143">
        <w:rPr>
          <w:rFonts w:eastAsia="Calibri"/>
          <w:b/>
          <w:szCs w:val="24"/>
          <w:lang w:eastAsia="en-US"/>
        </w:rPr>
        <w:t>hiányérzetet kelt, hogy sem az ÁNT, sem az SKV nem ad semminemű tájékoztatást arról, hogy az egyes üzemeltetők berendezéseik minemű módosításával, esetleg átalakításával, cseréjével tervezik elérni 2020-ig az előírt határértékek betartását</w:t>
      </w:r>
      <w:r w:rsidRPr="000A6143">
        <w:rPr>
          <w:rFonts w:eastAsia="Calibri"/>
          <w:szCs w:val="24"/>
          <w:lang w:eastAsia="en-US"/>
        </w:rPr>
        <w:t>.</w:t>
      </w:r>
    </w:p>
    <w:p w:rsidR="000A6143" w:rsidRPr="000A6143" w:rsidRDefault="000A6143" w:rsidP="000A6143">
      <w:pPr>
        <w:spacing w:after="160" w:line="259" w:lineRule="auto"/>
        <w:jc w:val="both"/>
        <w:rPr>
          <w:rFonts w:eastAsia="Calibri"/>
          <w:szCs w:val="24"/>
          <w:lang w:eastAsia="en-US"/>
        </w:rPr>
      </w:pPr>
      <w:r w:rsidRPr="000A6143">
        <w:rPr>
          <w:rFonts w:eastAsia="Calibri"/>
          <w:szCs w:val="24"/>
          <w:lang w:eastAsia="en-US"/>
        </w:rPr>
        <w:t xml:space="preserve">Más forrásokból szerzett információk szerint az érintett társaságok várható ráfordításai (a kén-dioxid-leválasztás és az elektrosztatikus porleválasztók hatásfokának javítása, </w:t>
      </w:r>
      <w:proofErr w:type="spellStart"/>
      <w:r w:rsidRPr="000A6143">
        <w:rPr>
          <w:rFonts w:eastAsia="Calibri"/>
          <w:szCs w:val="24"/>
          <w:lang w:eastAsia="en-US"/>
        </w:rPr>
        <w:t>NO</w:t>
      </w:r>
      <w:r w:rsidRPr="000A6143">
        <w:rPr>
          <w:rFonts w:eastAsia="Calibri"/>
          <w:szCs w:val="24"/>
          <w:vertAlign w:val="subscript"/>
          <w:lang w:eastAsia="en-US"/>
        </w:rPr>
        <w:t>x</w:t>
      </w:r>
      <w:r w:rsidRPr="000A6143">
        <w:rPr>
          <w:rFonts w:eastAsia="Calibri"/>
          <w:szCs w:val="24"/>
          <w:lang w:eastAsia="en-US"/>
        </w:rPr>
        <w:t>-kibocsátás-csökkentő</w:t>
      </w:r>
      <w:proofErr w:type="spellEnd"/>
      <w:r w:rsidRPr="000A6143">
        <w:rPr>
          <w:rFonts w:eastAsia="Calibri"/>
          <w:szCs w:val="24"/>
          <w:lang w:eastAsia="en-US"/>
        </w:rPr>
        <w:t xml:space="preserve"> technológiák megvalósítása) együttesen akár 20-25 milliárd forintra rúghat. A szükséges intézkedések előkészítése, megvalósítása több telephelyen megkezdődött, ill. folyamatban van.</w:t>
      </w:r>
      <w:bookmarkStart w:id="0" w:name="_GoBack"/>
      <w:bookmarkEnd w:id="0"/>
    </w:p>
    <w:p w:rsidR="00902199" w:rsidRDefault="00902199" w:rsidP="000A6143">
      <w:pPr>
        <w:spacing w:after="160" w:line="259" w:lineRule="auto"/>
        <w:rPr>
          <w:rFonts w:eastAsia="Calibri"/>
          <w:szCs w:val="24"/>
          <w:lang w:eastAsia="en-US"/>
        </w:rPr>
      </w:pPr>
    </w:p>
    <w:p w:rsidR="000423D6" w:rsidRPr="00902199" w:rsidRDefault="000A6143" w:rsidP="000A6143">
      <w:pPr>
        <w:spacing w:after="160" w:line="259" w:lineRule="auto"/>
        <w:rPr>
          <w:rFonts w:eastAsia="Calibri"/>
          <w:szCs w:val="24"/>
          <w:lang w:eastAsia="en-US"/>
        </w:rPr>
      </w:pPr>
      <w:r w:rsidRPr="000A6143">
        <w:rPr>
          <w:rFonts w:eastAsia="Calibri"/>
          <w:szCs w:val="24"/>
          <w:lang w:eastAsia="en-US"/>
        </w:rPr>
        <w:t xml:space="preserve">2014. augusztus </w:t>
      </w:r>
    </w:p>
    <w:sectPr w:rsidR="000423D6" w:rsidRPr="00902199" w:rsidSect="002975FC">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47" w:rsidRDefault="00307947">
      <w:r>
        <w:separator/>
      </w:r>
    </w:p>
  </w:endnote>
  <w:endnote w:type="continuationSeparator" w:id="0">
    <w:p w:rsidR="00307947" w:rsidRDefault="0030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endon Condense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78" w:rsidRDefault="00F62078" w:rsidP="00F77403">
    <w:pPr>
      <w:pStyle w:val="llb"/>
      <w:pBdr>
        <w:top w:val="dashDotStroked" w:sz="24" w:space="2" w:color="auto"/>
      </w:pBdr>
      <w:jc w:val="center"/>
      <w:rPr>
        <w:rFonts w:ascii="Clarendon Condensed" w:hAnsi="Clarendon Condensed"/>
        <w:spacing w:val="40"/>
        <w:sz w:val="20"/>
      </w:rPr>
    </w:pPr>
  </w:p>
  <w:p w:rsidR="00F62078" w:rsidRDefault="00F62078" w:rsidP="00F77403">
    <w:pPr>
      <w:pStyle w:val="llb"/>
      <w:pBdr>
        <w:top w:val="dashDotStroked" w:sz="24" w:space="2" w:color="auto"/>
      </w:pBdr>
      <w:jc w:val="center"/>
      <w:rPr>
        <w:rFonts w:ascii="Clarendon Condensed" w:hAnsi="Clarendon Condensed"/>
        <w:spacing w:val="40"/>
        <w:sz w:val="20"/>
      </w:rPr>
    </w:pPr>
    <w:r>
      <w:rPr>
        <w:rFonts w:ascii="Clarendon Condensed" w:hAnsi="Clarendon Condensed"/>
        <w:spacing w:val="40"/>
        <w:sz w:val="20"/>
      </w:rPr>
      <w:t>OKT Titkárság: 1055 Budapest, Kossuth tér 11.</w:t>
    </w:r>
  </w:p>
  <w:p w:rsidR="00F62078" w:rsidRDefault="00F62078" w:rsidP="00F77403">
    <w:pPr>
      <w:pStyle w:val="llb"/>
      <w:pBdr>
        <w:top w:val="dashDotStroked" w:sz="24" w:space="2" w:color="auto"/>
      </w:pBdr>
      <w:jc w:val="center"/>
      <w:rPr>
        <w:rFonts w:ascii="Clarendon Condensed" w:hAnsi="Clarendon Condensed"/>
        <w:spacing w:val="40"/>
        <w:sz w:val="20"/>
      </w:rPr>
    </w:pPr>
    <w:r>
      <w:rPr>
        <w:rFonts w:ascii="Clarendon Condensed" w:hAnsi="Clarendon Condensed"/>
        <w:spacing w:val="40"/>
        <w:sz w:val="20"/>
      </w:rPr>
      <w:t>Postacím: 1860 Bp.</w:t>
    </w:r>
  </w:p>
  <w:p w:rsidR="00F62078" w:rsidRDefault="00F62078" w:rsidP="00F77403">
    <w:pPr>
      <w:pStyle w:val="llb"/>
      <w:jc w:val="center"/>
      <w:rPr>
        <w:rFonts w:ascii="Clarendon Condensed" w:hAnsi="Clarendon Condensed"/>
        <w:spacing w:val="40"/>
        <w:sz w:val="20"/>
      </w:rPr>
    </w:pPr>
    <w:r>
      <w:rPr>
        <w:rFonts w:ascii="Clarendon Condensed" w:hAnsi="Clarendon Condensed"/>
        <w:spacing w:val="40"/>
        <w:sz w:val="20"/>
      </w:rPr>
      <w:t>Telefon: 1- 79 51063, 1- 79 53699. Fax: 1- 79 50429.</w:t>
    </w:r>
  </w:p>
  <w:p w:rsidR="00F62078" w:rsidRDefault="00F62078" w:rsidP="00F77403">
    <w:pPr>
      <w:pStyle w:val="llb"/>
      <w:jc w:val="center"/>
      <w:rPr>
        <w:rFonts w:ascii="Clarendon Condensed" w:hAnsi="Clarendon Condensed"/>
        <w:spacing w:val="40"/>
        <w:sz w:val="20"/>
      </w:rPr>
    </w:pPr>
    <w:r>
      <w:rPr>
        <w:rFonts w:ascii="Clarendon Condensed" w:hAnsi="Clarendon Condensed"/>
        <w:spacing w:val="40"/>
        <w:sz w:val="20"/>
      </w:rPr>
      <w:t xml:space="preserve">E-mail: </w:t>
    </w:r>
    <w:hyperlink r:id="rId1" w:history="1">
      <w:r w:rsidR="00280B3A" w:rsidRPr="00095C0B">
        <w:rPr>
          <w:rStyle w:val="Hiperhivatkozs"/>
          <w:rFonts w:ascii="Clarendon Condensed" w:hAnsi="Clarendon Condensed"/>
          <w:spacing w:val="40"/>
          <w:sz w:val="20"/>
        </w:rPr>
        <w:t>okttitk@fm.gov.hu</w:t>
      </w:r>
    </w:hyperlink>
  </w:p>
  <w:p w:rsidR="00F62078" w:rsidRPr="002031B2" w:rsidRDefault="00F62078" w:rsidP="00F77403">
    <w:pPr>
      <w:pStyle w:val="llb"/>
      <w:jc w:val="center"/>
      <w:rPr>
        <w:rFonts w:ascii="Clarendon Condensed" w:hAnsi="Clarendon Condensed"/>
        <w:color w:val="000000" w:themeColor="text1"/>
        <w:spacing w:val="40"/>
        <w:sz w:val="20"/>
      </w:rPr>
    </w:pPr>
    <w:r>
      <w:rPr>
        <w:rFonts w:ascii="Clarendon Condensed" w:hAnsi="Clarendon Condensed"/>
        <w:spacing w:val="40"/>
        <w:sz w:val="20"/>
      </w:rPr>
      <w:t>www.oktt.hu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47" w:rsidRDefault="00307947">
      <w:r>
        <w:separator/>
      </w:r>
    </w:p>
  </w:footnote>
  <w:footnote w:type="continuationSeparator" w:id="0">
    <w:p w:rsidR="00307947" w:rsidRDefault="00307947">
      <w:r>
        <w:continuationSeparator/>
      </w:r>
    </w:p>
  </w:footnote>
  <w:footnote w:id="1">
    <w:p w:rsidR="000A6143" w:rsidRPr="00A4434D" w:rsidRDefault="000A6143" w:rsidP="000A6143">
      <w:pPr>
        <w:pStyle w:val="Lbjegyzetszveg"/>
        <w:rPr>
          <w:sz w:val="16"/>
        </w:rPr>
      </w:pPr>
      <w:r w:rsidRPr="00A4434D">
        <w:rPr>
          <w:rStyle w:val="Lbjegyzet-hivatkozs"/>
          <w:sz w:val="16"/>
        </w:rPr>
        <w:footnoteRef/>
      </w:r>
      <w:r w:rsidRPr="00A4434D">
        <w:rPr>
          <w:sz w:val="16"/>
        </w:rPr>
        <w:t xml:space="preserve"> </w:t>
      </w:r>
      <w:proofErr w:type="spellStart"/>
      <w:r w:rsidRPr="00A4434D">
        <w:rPr>
          <w:sz w:val="16"/>
        </w:rPr>
        <w:t>Industrial</w:t>
      </w:r>
      <w:proofErr w:type="spellEnd"/>
      <w:r w:rsidRPr="00A4434D">
        <w:rPr>
          <w:sz w:val="16"/>
        </w:rPr>
        <w:t xml:space="preserve"> </w:t>
      </w:r>
      <w:proofErr w:type="spellStart"/>
      <w:r w:rsidRPr="00A4434D">
        <w:rPr>
          <w:sz w:val="16"/>
        </w:rPr>
        <w:t>Emissions</w:t>
      </w:r>
      <w:proofErr w:type="spellEnd"/>
      <w:r w:rsidRPr="00A4434D">
        <w:rPr>
          <w:sz w:val="16"/>
        </w:rPr>
        <w:t xml:space="preserve"> </w:t>
      </w:r>
      <w:proofErr w:type="spellStart"/>
      <w:r w:rsidRPr="00A4434D">
        <w:rPr>
          <w:sz w:val="16"/>
        </w:rPr>
        <w:t>Directive</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78" w:rsidRDefault="00F62078" w:rsidP="002E2ADE">
    <w:pPr>
      <w:pStyle w:val="lfej"/>
      <w:pBdr>
        <w:bottom w:val="dashDotStroked" w:sz="24" w:space="1" w:color="auto"/>
      </w:pBdr>
      <w:rPr>
        <w:rFonts w:ascii="Clarendon Condensed" w:hAnsi="Clarendon Condensed"/>
        <w:b/>
        <w:sz w:val="16"/>
      </w:rPr>
    </w:pPr>
    <w:r>
      <w:object w:dxaOrig="8669" w:dyaOrig="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81pt" o:ole="">
          <v:imagedata r:id="rId1" o:title=""/>
        </v:shape>
        <o:OLEObject Type="Embed" ProgID="MSPhotoEd.3" ShapeID="_x0000_i1025" DrawAspect="Content" ObjectID="_1468928075" r:id="rId2"/>
      </w:object>
    </w:r>
  </w:p>
  <w:p w:rsidR="00F62078" w:rsidRDefault="00F62078">
    <w:pPr>
      <w:pStyle w:val="lfej"/>
      <w:jc w:val="center"/>
      <w:rPr>
        <w:rFonts w:ascii="Clarendon Condensed" w:hAnsi="Clarendon Condensed"/>
      </w:rPr>
    </w:pPr>
  </w:p>
  <w:p w:rsidR="00F62078" w:rsidRDefault="00F62078">
    <w:pPr>
      <w:pStyle w:val="lfej"/>
      <w:jc w:val="center"/>
      <w:rPr>
        <w:rFonts w:ascii="Clarendon Condensed" w:hAnsi="Clarendon Condense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880"/>
    <w:multiLevelType w:val="hybridMultilevel"/>
    <w:tmpl w:val="FFFAC328"/>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1A741BFD"/>
    <w:multiLevelType w:val="hybridMultilevel"/>
    <w:tmpl w:val="D7E05AE6"/>
    <w:lvl w:ilvl="0" w:tplc="040E000F">
      <w:start w:val="1"/>
      <w:numFmt w:val="decimal"/>
      <w:lvlText w:val="%1."/>
      <w:lvlJc w:val="left"/>
      <w:pPr>
        <w:ind w:left="294" w:hanging="360"/>
      </w:pPr>
    </w:lvl>
    <w:lvl w:ilvl="1" w:tplc="040E0019">
      <w:start w:val="1"/>
      <w:numFmt w:val="lowerLetter"/>
      <w:lvlText w:val="%2."/>
      <w:lvlJc w:val="left"/>
      <w:pPr>
        <w:ind w:left="1014" w:hanging="360"/>
      </w:pPr>
    </w:lvl>
    <w:lvl w:ilvl="2" w:tplc="040E001B" w:tentative="1">
      <w:start w:val="1"/>
      <w:numFmt w:val="lowerRoman"/>
      <w:lvlText w:val="%3."/>
      <w:lvlJc w:val="right"/>
      <w:pPr>
        <w:ind w:left="1734" w:hanging="180"/>
      </w:pPr>
    </w:lvl>
    <w:lvl w:ilvl="3" w:tplc="040E000F" w:tentative="1">
      <w:start w:val="1"/>
      <w:numFmt w:val="decimal"/>
      <w:lvlText w:val="%4."/>
      <w:lvlJc w:val="left"/>
      <w:pPr>
        <w:ind w:left="2454" w:hanging="360"/>
      </w:pPr>
    </w:lvl>
    <w:lvl w:ilvl="4" w:tplc="040E0019" w:tentative="1">
      <w:start w:val="1"/>
      <w:numFmt w:val="lowerLetter"/>
      <w:lvlText w:val="%5."/>
      <w:lvlJc w:val="left"/>
      <w:pPr>
        <w:ind w:left="3174" w:hanging="360"/>
      </w:pPr>
    </w:lvl>
    <w:lvl w:ilvl="5" w:tplc="040E001B" w:tentative="1">
      <w:start w:val="1"/>
      <w:numFmt w:val="lowerRoman"/>
      <w:lvlText w:val="%6."/>
      <w:lvlJc w:val="right"/>
      <w:pPr>
        <w:ind w:left="3894" w:hanging="180"/>
      </w:pPr>
    </w:lvl>
    <w:lvl w:ilvl="6" w:tplc="040E000F" w:tentative="1">
      <w:start w:val="1"/>
      <w:numFmt w:val="decimal"/>
      <w:lvlText w:val="%7."/>
      <w:lvlJc w:val="left"/>
      <w:pPr>
        <w:ind w:left="4614" w:hanging="360"/>
      </w:pPr>
    </w:lvl>
    <w:lvl w:ilvl="7" w:tplc="040E0019" w:tentative="1">
      <w:start w:val="1"/>
      <w:numFmt w:val="lowerLetter"/>
      <w:lvlText w:val="%8."/>
      <w:lvlJc w:val="left"/>
      <w:pPr>
        <w:ind w:left="5334" w:hanging="360"/>
      </w:pPr>
    </w:lvl>
    <w:lvl w:ilvl="8" w:tplc="040E001B" w:tentative="1">
      <w:start w:val="1"/>
      <w:numFmt w:val="lowerRoman"/>
      <w:lvlText w:val="%9."/>
      <w:lvlJc w:val="right"/>
      <w:pPr>
        <w:ind w:left="6054" w:hanging="180"/>
      </w:pPr>
    </w:lvl>
  </w:abstractNum>
  <w:abstractNum w:abstractNumId="2">
    <w:nsid w:val="1A990E4A"/>
    <w:multiLevelType w:val="hybridMultilevel"/>
    <w:tmpl w:val="910C040A"/>
    <w:lvl w:ilvl="0" w:tplc="CECE5BBE">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CD429A4"/>
    <w:multiLevelType w:val="hybridMultilevel"/>
    <w:tmpl w:val="77C433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E9B4B46"/>
    <w:multiLevelType w:val="hybridMultilevel"/>
    <w:tmpl w:val="D3589460"/>
    <w:lvl w:ilvl="0" w:tplc="E6D6398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F807705"/>
    <w:multiLevelType w:val="hybridMultilevel"/>
    <w:tmpl w:val="76C6F6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4571C1E"/>
    <w:multiLevelType w:val="hybridMultilevel"/>
    <w:tmpl w:val="8A78C41A"/>
    <w:lvl w:ilvl="0" w:tplc="EA38E9E4">
      <w:start w:val="16"/>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4B251AA9"/>
    <w:multiLevelType w:val="hybridMultilevel"/>
    <w:tmpl w:val="D6504FCE"/>
    <w:lvl w:ilvl="0" w:tplc="5588D782">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BA532F8"/>
    <w:multiLevelType w:val="hybridMultilevel"/>
    <w:tmpl w:val="0C58D9C4"/>
    <w:lvl w:ilvl="0" w:tplc="E7C2A0A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4FEE20DE"/>
    <w:multiLevelType w:val="hybridMultilevel"/>
    <w:tmpl w:val="5B24DD4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528E4571"/>
    <w:multiLevelType w:val="multilevel"/>
    <w:tmpl w:val="040E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692C0A6C"/>
    <w:multiLevelType w:val="singleLevel"/>
    <w:tmpl w:val="61DE077C"/>
    <w:lvl w:ilvl="0">
      <w:start w:val="1"/>
      <w:numFmt w:val="bullet"/>
      <w:lvlText w:val=""/>
      <w:lvlJc w:val="left"/>
      <w:pPr>
        <w:tabs>
          <w:tab w:val="num" w:pos="360"/>
        </w:tabs>
        <w:ind w:left="360" w:hanging="360"/>
      </w:pPr>
      <w:rPr>
        <w:rFonts w:ascii="Symbol" w:hAnsi="Symbol" w:hint="default"/>
      </w:rPr>
    </w:lvl>
  </w:abstractNum>
  <w:abstractNum w:abstractNumId="12">
    <w:nsid w:val="6E5C7D92"/>
    <w:multiLevelType w:val="hybridMultilevel"/>
    <w:tmpl w:val="5B6A6CE8"/>
    <w:lvl w:ilvl="0" w:tplc="C75E080E">
      <w:start w:val="1"/>
      <w:numFmt w:val="lowerLetter"/>
      <w:lvlText w:val="%1)"/>
      <w:lvlJc w:val="left"/>
      <w:pPr>
        <w:ind w:left="720" w:hanging="360"/>
      </w:pPr>
      <w:rPr>
        <w:rFonts w:hint="default"/>
        <w:b w:val="0"/>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75C01C29"/>
    <w:multiLevelType w:val="hybridMultilevel"/>
    <w:tmpl w:val="34C24B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4"/>
  </w:num>
  <w:num w:numId="5">
    <w:abstractNumId w:val="2"/>
  </w:num>
  <w:num w:numId="6">
    <w:abstractNumId w:val="0"/>
  </w:num>
  <w:num w:numId="7">
    <w:abstractNumId w:val="13"/>
  </w:num>
  <w:num w:numId="8">
    <w:abstractNumId w:val="5"/>
  </w:num>
  <w:num w:numId="9">
    <w:abstractNumId w:val="12"/>
  </w:num>
  <w:num w:numId="10">
    <w:abstractNumId w:val="3"/>
  </w:num>
  <w:num w:numId="11">
    <w:abstractNumId w:val="6"/>
  </w:num>
  <w:num w:numId="12">
    <w:abstractNumId w:val="7"/>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37F6"/>
    <w:rsid w:val="00011212"/>
    <w:rsid w:val="00013D0D"/>
    <w:rsid w:val="00016318"/>
    <w:rsid w:val="0003417F"/>
    <w:rsid w:val="0003565B"/>
    <w:rsid w:val="000423D6"/>
    <w:rsid w:val="000473C3"/>
    <w:rsid w:val="00050B13"/>
    <w:rsid w:val="00073DF4"/>
    <w:rsid w:val="00075591"/>
    <w:rsid w:val="000800B8"/>
    <w:rsid w:val="00080183"/>
    <w:rsid w:val="00087B09"/>
    <w:rsid w:val="00093EA7"/>
    <w:rsid w:val="00094C98"/>
    <w:rsid w:val="000A0179"/>
    <w:rsid w:val="000A2908"/>
    <w:rsid w:val="000A6143"/>
    <w:rsid w:val="000A78AC"/>
    <w:rsid w:val="000B13D8"/>
    <w:rsid w:val="000B6074"/>
    <w:rsid w:val="000B6387"/>
    <w:rsid w:val="000E2B9A"/>
    <w:rsid w:val="000E2C5B"/>
    <w:rsid w:val="000F2CC9"/>
    <w:rsid w:val="00101B16"/>
    <w:rsid w:val="00102568"/>
    <w:rsid w:val="0012057F"/>
    <w:rsid w:val="00126BE2"/>
    <w:rsid w:val="00130B64"/>
    <w:rsid w:val="001310C1"/>
    <w:rsid w:val="00147E1C"/>
    <w:rsid w:val="0015324C"/>
    <w:rsid w:val="00154D23"/>
    <w:rsid w:val="00161771"/>
    <w:rsid w:val="00172A0C"/>
    <w:rsid w:val="00176DE3"/>
    <w:rsid w:val="00183F0E"/>
    <w:rsid w:val="001A5508"/>
    <w:rsid w:val="001B1053"/>
    <w:rsid w:val="001B24A1"/>
    <w:rsid w:val="001C24E0"/>
    <w:rsid w:val="001C35D6"/>
    <w:rsid w:val="001C3E85"/>
    <w:rsid w:val="001D2AC7"/>
    <w:rsid w:val="001E05B6"/>
    <w:rsid w:val="001E442F"/>
    <w:rsid w:val="001F0D40"/>
    <w:rsid w:val="001F0F1C"/>
    <w:rsid w:val="001F2879"/>
    <w:rsid w:val="002031B2"/>
    <w:rsid w:val="00204656"/>
    <w:rsid w:val="002120FE"/>
    <w:rsid w:val="00212FBC"/>
    <w:rsid w:val="002158B4"/>
    <w:rsid w:val="002161CB"/>
    <w:rsid w:val="00220757"/>
    <w:rsid w:val="0022093E"/>
    <w:rsid w:val="00220C34"/>
    <w:rsid w:val="00221634"/>
    <w:rsid w:val="00230A6F"/>
    <w:rsid w:val="00233655"/>
    <w:rsid w:val="002627CD"/>
    <w:rsid w:val="00262A06"/>
    <w:rsid w:val="002646F2"/>
    <w:rsid w:val="00271733"/>
    <w:rsid w:val="00275182"/>
    <w:rsid w:val="00275BF2"/>
    <w:rsid w:val="00280B3A"/>
    <w:rsid w:val="00283E67"/>
    <w:rsid w:val="002975FC"/>
    <w:rsid w:val="002A23C1"/>
    <w:rsid w:val="002A2934"/>
    <w:rsid w:val="002A3528"/>
    <w:rsid w:val="002A531F"/>
    <w:rsid w:val="002E1A1D"/>
    <w:rsid w:val="002E2ADE"/>
    <w:rsid w:val="002F5B0E"/>
    <w:rsid w:val="00307947"/>
    <w:rsid w:val="00313049"/>
    <w:rsid w:val="003357FA"/>
    <w:rsid w:val="00337D2A"/>
    <w:rsid w:val="003425B7"/>
    <w:rsid w:val="00352340"/>
    <w:rsid w:val="00360686"/>
    <w:rsid w:val="0036118E"/>
    <w:rsid w:val="0037073D"/>
    <w:rsid w:val="0038408E"/>
    <w:rsid w:val="00386B86"/>
    <w:rsid w:val="003B46F7"/>
    <w:rsid w:val="003C2886"/>
    <w:rsid w:val="003E53F0"/>
    <w:rsid w:val="003E6E53"/>
    <w:rsid w:val="003E715C"/>
    <w:rsid w:val="003F567A"/>
    <w:rsid w:val="00401E82"/>
    <w:rsid w:val="00420093"/>
    <w:rsid w:val="00424227"/>
    <w:rsid w:val="00431537"/>
    <w:rsid w:val="00431BB3"/>
    <w:rsid w:val="00435207"/>
    <w:rsid w:val="00464E1B"/>
    <w:rsid w:val="00467BFB"/>
    <w:rsid w:val="00484898"/>
    <w:rsid w:val="004921D4"/>
    <w:rsid w:val="00495240"/>
    <w:rsid w:val="00496913"/>
    <w:rsid w:val="004C4BDF"/>
    <w:rsid w:val="004E3F09"/>
    <w:rsid w:val="004E5DD2"/>
    <w:rsid w:val="004F2071"/>
    <w:rsid w:val="004F2EA4"/>
    <w:rsid w:val="00507803"/>
    <w:rsid w:val="005104B7"/>
    <w:rsid w:val="00513B8A"/>
    <w:rsid w:val="00520010"/>
    <w:rsid w:val="00525A56"/>
    <w:rsid w:val="00535E81"/>
    <w:rsid w:val="005375F2"/>
    <w:rsid w:val="00562FA2"/>
    <w:rsid w:val="00563552"/>
    <w:rsid w:val="00563632"/>
    <w:rsid w:val="00575C6A"/>
    <w:rsid w:val="00576C82"/>
    <w:rsid w:val="00585442"/>
    <w:rsid w:val="00585762"/>
    <w:rsid w:val="00594008"/>
    <w:rsid w:val="00594B89"/>
    <w:rsid w:val="00597A62"/>
    <w:rsid w:val="005A4DD2"/>
    <w:rsid w:val="005E2E1C"/>
    <w:rsid w:val="005E3DFC"/>
    <w:rsid w:val="005E5E4D"/>
    <w:rsid w:val="006129F6"/>
    <w:rsid w:val="006219C0"/>
    <w:rsid w:val="00632A71"/>
    <w:rsid w:val="00633879"/>
    <w:rsid w:val="006507E6"/>
    <w:rsid w:val="006728E0"/>
    <w:rsid w:val="00685A31"/>
    <w:rsid w:val="006A404E"/>
    <w:rsid w:val="006D3F92"/>
    <w:rsid w:val="006E1DDB"/>
    <w:rsid w:val="006E401D"/>
    <w:rsid w:val="006F1E93"/>
    <w:rsid w:val="006F3B94"/>
    <w:rsid w:val="00702D46"/>
    <w:rsid w:val="00711969"/>
    <w:rsid w:val="00714AB1"/>
    <w:rsid w:val="00721CE2"/>
    <w:rsid w:val="00721FC9"/>
    <w:rsid w:val="0072465B"/>
    <w:rsid w:val="00725F91"/>
    <w:rsid w:val="0072728F"/>
    <w:rsid w:val="007368DB"/>
    <w:rsid w:val="00741710"/>
    <w:rsid w:val="007428D9"/>
    <w:rsid w:val="00767356"/>
    <w:rsid w:val="00791EFC"/>
    <w:rsid w:val="00796B93"/>
    <w:rsid w:val="007B0C42"/>
    <w:rsid w:val="007E540A"/>
    <w:rsid w:val="007E6C04"/>
    <w:rsid w:val="007F0917"/>
    <w:rsid w:val="008103FA"/>
    <w:rsid w:val="00823BBC"/>
    <w:rsid w:val="0082742C"/>
    <w:rsid w:val="00834273"/>
    <w:rsid w:val="0083455A"/>
    <w:rsid w:val="00841FEB"/>
    <w:rsid w:val="00846191"/>
    <w:rsid w:val="008551A1"/>
    <w:rsid w:val="008551B2"/>
    <w:rsid w:val="0087496A"/>
    <w:rsid w:val="008858EC"/>
    <w:rsid w:val="008B07DA"/>
    <w:rsid w:val="008B4857"/>
    <w:rsid w:val="008C47B5"/>
    <w:rsid w:val="008C5064"/>
    <w:rsid w:val="008E2B70"/>
    <w:rsid w:val="008E3D84"/>
    <w:rsid w:val="008F06ED"/>
    <w:rsid w:val="008F1D7D"/>
    <w:rsid w:val="008F2D4A"/>
    <w:rsid w:val="008F3E4E"/>
    <w:rsid w:val="008F6187"/>
    <w:rsid w:val="008F6763"/>
    <w:rsid w:val="00902199"/>
    <w:rsid w:val="00912902"/>
    <w:rsid w:val="009429E8"/>
    <w:rsid w:val="00956494"/>
    <w:rsid w:val="00960BC4"/>
    <w:rsid w:val="00972EB1"/>
    <w:rsid w:val="009769A6"/>
    <w:rsid w:val="009C7BA0"/>
    <w:rsid w:val="009D5E87"/>
    <w:rsid w:val="009E12D3"/>
    <w:rsid w:val="009E3B32"/>
    <w:rsid w:val="009E6833"/>
    <w:rsid w:val="00A00841"/>
    <w:rsid w:val="00A048D0"/>
    <w:rsid w:val="00A05553"/>
    <w:rsid w:val="00A11583"/>
    <w:rsid w:val="00A11588"/>
    <w:rsid w:val="00A120D2"/>
    <w:rsid w:val="00A162E5"/>
    <w:rsid w:val="00A3277C"/>
    <w:rsid w:val="00A6174F"/>
    <w:rsid w:val="00A76C3D"/>
    <w:rsid w:val="00A812AF"/>
    <w:rsid w:val="00A820ED"/>
    <w:rsid w:val="00A90055"/>
    <w:rsid w:val="00AA6125"/>
    <w:rsid w:val="00AB1F3C"/>
    <w:rsid w:val="00AB4E3A"/>
    <w:rsid w:val="00AD5C62"/>
    <w:rsid w:val="00AF5CE4"/>
    <w:rsid w:val="00B02F68"/>
    <w:rsid w:val="00B05AD4"/>
    <w:rsid w:val="00B05ED6"/>
    <w:rsid w:val="00B07B46"/>
    <w:rsid w:val="00B10ECB"/>
    <w:rsid w:val="00B11A54"/>
    <w:rsid w:val="00B14818"/>
    <w:rsid w:val="00B2329D"/>
    <w:rsid w:val="00B56959"/>
    <w:rsid w:val="00B72F9E"/>
    <w:rsid w:val="00B74896"/>
    <w:rsid w:val="00B9684A"/>
    <w:rsid w:val="00BA6EDA"/>
    <w:rsid w:val="00BB22C8"/>
    <w:rsid w:val="00BB49D5"/>
    <w:rsid w:val="00BB7062"/>
    <w:rsid w:val="00BC0B38"/>
    <w:rsid w:val="00BC2E1C"/>
    <w:rsid w:val="00BD3DB2"/>
    <w:rsid w:val="00BD4865"/>
    <w:rsid w:val="00BE4B9A"/>
    <w:rsid w:val="00BE6548"/>
    <w:rsid w:val="00BF0BA9"/>
    <w:rsid w:val="00BF14C7"/>
    <w:rsid w:val="00C066EE"/>
    <w:rsid w:val="00C1237F"/>
    <w:rsid w:val="00C13CAE"/>
    <w:rsid w:val="00C150DA"/>
    <w:rsid w:val="00C15FDA"/>
    <w:rsid w:val="00C17085"/>
    <w:rsid w:val="00C20F4F"/>
    <w:rsid w:val="00C61588"/>
    <w:rsid w:val="00C86F30"/>
    <w:rsid w:val="00CA1AB4"/>
    <w:rsid w:val="00CA7B47"/>
    <w:rsid w:val="00CB2053"/>
    <w:rsid w:val="00CB3B4E"/>
    <w:rsid w:val="00CE6804"/>
    <w:rsid w:val="00D01A57"/>
    <w:rsid w:val="00D01F6B"/>
    <w:rsid w:val="00D02C60"/>
    <w:rsid w:val="00D05F78"/>
    <w:rsid w:val="00D21664"/>
    <w:rsid w:val="00D218C5"/>
    <w:rsid w:val="00D22E9F"/>
    <w:rsid w:val="00D447FB"/>
    <w:rsid w:val="00D473EB"/>
    <w:rsid w:val="00D53B6A"/>
    <w:rsid w:val="00D61B6D"/>
    <w:rsid w:val="00D769A0"/>
    <w:rsid w:val="00D8190C"/>
    <w:rsid w:val="00D96CAE"/>
    <w:rsid w:val="00DC2A55"/>
    <w:rsid w:val="00DC6AED"/>
    <w:rsid w:val="00DD6525"/>
    <w:rsid w:val="00DE3B4E"/>
    <w:rsid w:val="00DF169E"/>
    <w:rsid w:val="00DF1D22"/>
    <w:rsid w:val="00DF1DFB"/>
    <w:rsid w:val="00E00A6D"/>
    <w:rsid w:val="00E01A50"/>
    <w:rsid w:val="00E06873"/>
    <w:rsid w:val="00E211CC"/>
    <w:rsid w:val="00E3308D"/>
    <w:rsid w:val="00E46CF8"/>
    <w:rsid w:val="00E47A77"/>
    <w:rsid w:val="00E47C7A"/>
    <w:rsid w:val="00E548E1"/>
    <w:rsid w:val="00E56A74"/>
    <w:rsid w:val="00E733CC"/>
    <w:rsid w:val="00E76039"/>
    <w:rsid w:val="00E83ECB"/>
    <w:rsid w:val="00E84956"/>
    <w:rsid w:val="00EC3052"/>
    <w:rsid w:val="00EE38C9"/>
    <w:rsid w:val="00EE756B"/>
    <w:rsid w:val="00EF384C"/>
    <w:rsid w:val="00F00115"/>
    <w:rsid w:val="00F07011"/>
    <w:rsid w:val="00F15CD3"/>
    <w:rsid w:val="00F17B76"/>
    <w:rsid w:val="00F2686A"/>
    <w:rsid w:val="00F35FDA"/>
    <w:rsid w:val="00F5260D"/>
    <w:rsid w:val="00F62078"/>
    <w:rsid w:val="00F67081"/>
    <w:rsid w:val="00F67797"/>
    <w:rsid w:val="00F7549D"/>
    <w:rsid w:val="00F7629D"/>
    <w:rsid w:val="00F77403"/>
    <w:rsid w:val="00F937F6"/>
    <w:rsid w:val="00FA149D"/>
    <w:rsid w:val="00FB3E0B"/>
    <w:rsid w:val="00FB602B"/>
    <w:rsid w:val="00FB7ADD"/>
    <w:rsid w:val="00FC331A"/>
    <w:rsid w:val="00FC3D54"/>
    <w:rsid w:val="00FD032A"/>
    <w:rsid w:val="00FD23C3"/>
    <w:rsid w:val="00FE3579"/>
    <w:rsid w:val="00FE5B3F"/>
    <w:rsid w:val="00FF32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975FC"/>
    <w:rPr>
      <w:sz w:val="24"/>
    </w:rPr>
  </w:style>
  <w:style w:type="paragraph" w:styleId="Cmsor1">
    <w:name w:val="heading 1"/>
    <w:basedOn w:val="Norml"/>
    <w:next w:val="Norml"/>
    <w:qFormat/>
    <w:rsid w:val="002975FC"/>
    <w:pPr>
      <w:keepNext/>
      <w:jc w:val="center"/>
      <w:outlineLvl w:val="0"/>
    </w:pPr>
    <w:rPr>
      <w:b/>
      <w:smallCaps/>
      <w:spacing w:val="60"/>
    </w:rPr>
  </w:style>
  <w:style w:type="paragraph" w:styleId="Cmsor2">
    <w:name w:val="heading 2"/>
    <w:aliases w:val="Jsz_Alcím"/>
    <w:basedOn w:val="Norml"/>
    <w:next w:val="Norml"/>
    <w:qFormat/>
    <w:rsid w:val="002975FC"/>
    <w:pPr>
      <w:keepNext/>
      <w:jc w:val="center"/>
      <w:outlineLvl w:val="1"/>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975FC"/>
    <w:pPr>
      <w:tabs>
        <w:tab w:val="center" w:pos="4536"/>
        <w:tab w:val="right" w:pos="9072"/>
      </w:tabs>
    </w:pPr>
  </w:style>
  <w:style w:type="paragraph" w:styleId="llb">
    <w:name w:val="footer"/>
    <w:basedOn w:val="Norml"/>
    <w:rsid w:val="002975FC"/>
    <w:pPr>
      <w:tabs>
        <w:tab w:val="center" w:pos="4536"/>
        <w:tab w:val="right" w:pos="9072"/>
      </w:tabs>
    </w:pPr>
  </w:style>
  <w:style w:type="paragraph" w:styleId="Szvegtrzs">
    <w:name w:val="Body Text"/>
    <w:basedOn w:val="Norml"/>
    <w:rsid w:val="002975FC"/>
    <w:rPr>
      <w:sz w:val="28"/>
    </w:rPr>
  </w:style>
  <w:style w:type="paragraph" w:styleId="Szvegtrzs2">
    <w:name w:val="Body Text 2"/>
    <w:basedOn w:val="Norml"/>
    <w:rsid w:val="002975FC"/>
    <w:pPr>
      <w:jc w:val="both"/>
    </w:pPr>
  </w:style>
  <w:style w:type="paragraph" w:styleId="Buborkszveg">
    <w:name w:val="Balloon Text"/>
    <w:basedOn w:val="Norml"/>
    <w:semiHidden/>
    <w:rsid w:val="00525A56"/>
    <w:rPr>
      <w:rFonts w:ascii="Tahoma" w:hAnsi="Tahoma" w:cs="Tahoma"/>
      <w:sz w:val="16"/>
      <w:szCs w:val="16"/>
    </w:rPr>
  </w:style>
  <w:style w:type="character" w:styleId="Hiperhivatkozs">
    <w:name w:val="Hyperlink"/>
    <w:basedOn w:val="Bekezdsalapbettpusa"/>
    <w:rsid w:val="00B72F9E"/>
    <w:rPr>
      <w:color w:val="0000FF"/>
      <w:u w:val="single"/>
    </w:rPr>
  </w:style>
  <w:style w:type="paragraph" w:styleId="NormlWeb">
    <w:name w:val="Normal (Web)"/>
    <w:basedOn w:val="Norml"/>
    <w:uiPriority w:val="99"/>
    <w:rsid w:val="001F0F1C"/>
    <w:pPr>
      <w:ind w:firstLine="180"/>
      <w:jc w:val="both"/>
    </w:pPr>
    <w:rPr>
      <w:szCs w:val="24"/>
    </w:rPr>
  </w:style>
  <w:style w:type="paragraph" w:styleId="Jegyzetszveg">
    <w:name w:val="annotation text"/>
    <w:basedOn w:val="Norml"/>
    <w:link w:val="JegyzetszvegChar"/>
    <w:unhideWhenUsed/>
    <w:rsid w:val="001F0F1C"/>
    <w:rPr>
      <w:sz w:val="20"/>
    </w:rPr>
  </w:style>
  <w:style w:type="character" w:customStyle="1" w:styleId="JegyzetszvegChar">
    <w:name w:val="Jegyzetszöveg Char"/>
    <w:basedOn w:val="Bekezdsalapbettpusa"/>
    <w:link w:val="Jegyzetszveg"/>
    <w:rsid w:val="001F0F1C"/>
  </w:style>
  <w:style w:type="paragraph" w:styleId="Listaszerbekezds">
    <w:name w:val="List Paragraph"/>
    <w:basedOn w:val="Norml"/>
    <w:uiPriority w:val="34"/>
    <w:qFormat/>
    <w:rsid w:val="0036118E"/>
    <w:pPr>
      <w:ind w:left="720"/>
      <w:contextualSpacing/>
    </w:pPr>
  </w:style>
  <w:style w:type="paragraph" w:customStyle="1" w:styleId="StlusCmsor2KzprezrtEltte18ptUtna0ptSorkz">
    <w:name w:val="Stílus Címsor 2 + Középre zárt Előtte:  18 pt Utána:  0 pt Sorköz..."/>
    <w:basedOn w:val="Cmsor2"/>
    <w:rsid w:val="00BB7062"/>
    <w:pPr>
      <w:tabs>
        <w:tab w:val="num" w:pos="360"/>
      </w:tabs>
      <w:suppressAutoHyphens/>
      <w:spacing w:before="360" w:line="360" w:lineRule="auto"/>
      <w:ind w:left="360" w:hanging="360"/>
    </w:pPr>
    <w:rPr>
      <w:b w:val="0"/>
      <w:bCs/>
      <w:i/>
      <w:iCs/>
      <w:lang w:eastAsia="ar-SA"/>
    </w:rPr>
  </w:style>
  <w:style w:type="character" w:styleId="Jegyzethivatkozs">
    <w:name w:val="annotation reference"/>
    <w:basedOn w:val="Bekezdsalapbettpusa"/>
    <w:rsid w:val="00172A0C"/>
    <w:rPr>
      <w:sz w:val="16"/>
      <w:szCs w:val="16"/>
    </w:rPr>
  </w:style>
  <w:style w:type="table" w:styleId="Rcsostblzat">
    <w:name w:val="Table Grid"/>
    <w:basedOn w:val="Normltblzat"/>
    <w:uiPriority w:val="39"/>
    <w:rsid w:val="000A61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0A6143"/>
    <w:rPr>
      <w:rFonts w:ascii="Calibri" w:eastAsia="Calibri" w:hAnsi="Calibri"/>
      <w:sz w:val="20"/>
      <w:lang w:eastAsia="en-US"/>
    </w:rPr>
  </w:style>
  <w:style w:type="character" w:customStyle="1" w:styleId="LbjegyzetszvegChar">
    <w:name w:val="Lábjegyzetszöveg Char"/>
    <w:basedOn w:val="Bekezdsalapbettpusa"/>
    <w:link w:val="Lbjegyzetszveg"/>
    <w:uiPriority w:val="99"/>
    <w:rsid w:val="000A6143"/>
    <w:rPr>
      <w:rFonts w:ascii="Calibri" w:eastAsia="Calibri" w:hAnsi="Calibri"/>
      <w:lang w:eastAsia="en-US"/>
    </w:rPr>
  </w:style>
  <w:style w:type="character" w:styleId="Lbjegyzet-hivatkozs">
    <w:name w:val="footnote reference"/>
    <w:basedOn w:val="Bekezdsalapbettpusa"/>
    <w:uiPriority w:val="99"/>
    <w:unhideWhenUsed/>
    <w:rsid w:val="000A61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5616">
      <w:bodyDiv w:val="1"/>
      <w:marLeft w:val="0"/>
      <w:marRight w:val="0"/>
      <w:marTop w:val="0"/>
      <w:marBottom w:val="0"/>
      <w:divBdr>
        <w:top w:val="none" w:sz="0" w:space="0" w:color="auto"/>
        <w:left w:val="none" w:sz="0" w:space="0" w:color="auto"/>
        <w:bottom w:val="none" w:sz="0" w:space="0" w:color="auto"/>
        <w:right w:val="none" w:sz="0" w:space="0" w:color="auto"/>
      </w:divBdr>
    </w:div>
    <w:div w:id="444157780">
      <w:bodyDiv w:val="1"/>
      <w:marLeft w:val="0"/>
      <w:marRight w:val="0"/>
      <w:marTop w:val="0"/>
      <w:marBottom w:val="0"/>
      <w:divBdr>
        <w:top w:val="none" w:sz="0" w:space="0" w:color="auto"/>
        <w:left w:val="none" w:sz="0" w:space="0" w:color="auto"/>
        <w:bottom w:val="none" w:sz="0" w:space="0" w:color="auto"/>
        <w:right w:val="none" w:sz="0" w:space="0" w:color="auto"/>
      </w:divBdr>
    </w:div>
    <w:div w:id="467166759">
      <w:bodyDiv w:val="1"/>
      <w:marLeft w:val="0"/>
      <w:marRight w:val="0"/>
      <w:marTop w:val="0"/>
      <w:marBottom w:val="0"/>
      <w:divBdr>
        <w:top w:val="none" w:sz="0" w:space="0" w:color="auto"/>
        <w:left w:val="none" w:sz="0" w:space="0" w:color="auto"/>
        <w:bottom w:val="none" w:sz="0" w:space="0" w:color="auto"/>
        <w:right w:val="none" w:sz="0" w:space="0" w:color="auto"/>
      </w:divBdr>
    </w:div>
    <w:div w:id="597369296">
      <w:bodyDiv w:val="1"/>
      <w:marLeft w:val="0"/>
      <w:marRight w:val="0"/>
      <w:marTop w:val="0"/>
      <w:marBottom w:val="0"/>
      <w:divBdr>
        <w:top w:val="none" w:sz="0" w:space="0" w:color="auto"/>
        <w:left w:val="none" w:sz="0" w:space="0" w:color="auto"/>
        <w:bottom w:val="none" w:sz="0" w:space="0" w:color="auto"/>
        <w:right w:val="none" w:sz="0" w:space="0" w:color="auto"/>
      </w:divBdr>
    </w:div>
    <w:div w:id="752509330">
      <w:bodyDiv w:val="1"/>
      <w:marLeft w:val="0"/>
      <w:marRight w:val="0"/>
      <w:marTop w:val="0"/>
      <w:marBottom w:val="0"/>
      <w:divBdr>
        <w:top w:val="none" w:sz="0" w:space="0" w:color="auto"/>
        <w:left w:val="none" w:sz="0" w:space="0" w:color="auto"/>
        <w:bottom w:val="none" w:sz="0" w:space="0" w:color="auto"/>
        <w:right w:val="none" w:sz="0" w:space="0" w:color="auto"/>
      </w:divBdr>
    </w:div>
    <w:div w:id="907223803">
      <w:bodyDiv w:val="1"/>
      <w:marLeft w:val="0"/>
      <w:marRight w:val="0"/>
      <w:marTop w:val="0"/>
      <w:marBottom w:val="0"/>
      <w:divBdr>
        <w:top w:val="none" w:sz="0" w:space="0" w:color="auto"/>
        <w:left w:val="none" w:sz="0" w:space="0" w:color="auto"/>
        <w:bottom w:val="none" w:sz="0" w:space="0" w:color="auto"/>
        <w:right w:val="none" w:sz="0" w:space="0" w:color="auto"/>
      </w:divBdr>
    </w:div>
    <w:div w:id="10420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kttitk@fm.gov.hu"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F4CAA-7EBD-4216-B26D-436CF3D6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787</Words>
  <Characters>5433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6208</CharactersWithSpaces>
  <SharedDoc>false</SharedDoc>
  <HLinks>
    <vt:vector size="6" baseType="variant">
      <vt:variant>
        <vt:i4>1507445</vt:i4>
      </vt:variant>
      <vt:variant>
        <vt:i4>3</vt:i4>
      </vt:variant>
      <vt:variant>
        <vt:i4>0</vt:i4>
      </vt:variant>
      <vt:variant>
        <vt:i4>5</vt:i4>
      </vt:variant>
      <vt:variant>
        <vt:lpwstr>mailto:okttitk@vm.gov.hu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LakatosL</dc:creator>
  <cp:lastModifiedBy>LakatosL</cp:lastModifiedBy>
  <cp:revision>3</cp:revision>
  <cp:lastPrinted>2009-05-20T08:14:00Z</cp:lastPrinted>
  <dcterms:created xsi:type="dcterms:W3CDTF">2014-08-07T12:34:00Z</dcterms:created>
  <dcterms:modified xsi:type="dcterms:W3CDTF">2014-08-07T12:48:00Z</dcterms:modified>
</cp:coreProperties>
</file>