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C55" w:rsidRDefault="00B75C55" w:rsidP="008A512A">
      <w:pPr>
        <w:rPr>
          <w:color w:val="000000"/>
        </w:rPr>
      </w:pPr>
      <w:bookmarkStart w:id="0" w:name="_GoBack"/>
      <w:bookmarkEnd w:id="0"/>
    </w:p>
    <w:p w:rsidR="00B85726" w:rsidRPr="00B85726" w:rsidRDefault="00B85726" w:rsidP="008A512A">
      <w:pPr>
        <w:rPr>
          <w:color w:val="000000"/>
          <w:sz w:val="20"/>
        </w:rPr>
      </w:pPr>
      <w:r w:rsidRPr="00B85726">
        <w:rPr>
          <w:color w:val="000000"/>
          <w:sz w:val="20"/>
        </w:rPr>
        <w:t xml:space="preserve">2010. január </w:t>
      </w:r>
      <w:r w:rsidR="006A3F64">
        <w:rPr>
          <w:color w:val="000000"/>
          <w:sz w:val="20"/>
        </w:rPr>
        <w:t>1</w:t>
      </w:r>
      <w:r w:rsidR="00A73D60">
        <w:rPr>
          <w:color w:val="000000"/>
          <w:sz w:val="20"/>
        </w:rPr>
        <w:t>6</w:t>
      </w:r>
      <w:r w:rsidRPr="00B85726">
        <w:rPr>
          <w:color w:val="000000"/>
          <w:sz w:val="20"/>
        </w:rPr>
        <w:t>.</w:t>
      </w:r>
    </w:p>
    <w:p w:rsidR="00B85726" w:rsidRDefault="00B85726" w:rsidP="008A512A">
      <w:pPr>
        <w:rPr>
          <w:color w:val="000000"/>
        </w:rPr>
      </w:pPr>
    </w:p>
    <w:p w:rsidR="001F30AF" w:rsidRDefault="001F30AF" w:rsidP="008A512A">
      <w:pPr>
        <w:rPr>
          <w:color w:val="000000"/>
        </w:rPr>
      </w:pPr>
    </w:p>
    <w:p w:rsidR="001F30AF" w:rsidRDefault="001F30AF" w:rsidP="008A512A">
      <w:pPr>
        <w:rPr>
          <w:color w:val="000000"/>
        </w:rPr>
      </w:pPr>
    </w:p>
    <w:p w:rsidR="001F30AF" w:rsidRDefault="001F30AF" w:rsidP="008A512A">
      <w:pPr>
        <w:rPr>
          <w:color w:val="000000"/>
        </w:rPr>
      </w:pPr>
    </w:p>
    <w:p w:rsidR="00B75C55" w:rsidRPr="00AB76DF" w:rsidRDefault="00B75C55" w:rsidP="00B75C55">
      <w:pPr>
        <w:jc w:val="center"/>
        <w:rPr>
          <w:rFonts w:cs="Arial"/>
          <w:b/>
          <w:color w:val="000000"/>
          <w:szCs w:val="20"/>
        </w:rPr>
      </w:pPr>
      <w:r w:rsidRPr="00AB76DF">
        <w:rPr>
          <w:rFonts w:ascii="Times New Roman félkövér" w:hAnsi="Times New Roman félkövér" w:cs="Arial"/>
          <w:b/>
          <w:color w:val="000000"/>
          <w:szCs w:val="20"/>
        </w:rPr>
        <w:t xml:space="preserve">A </w:t>
      </w:r>
      <w:r>
        <w:rPr>
          <w:rFonts w:ascii="Times New Roman félkövér" w:hAnsi="Times New Roman félkövér" w:cs="Arial"/>
          <w:b/>
          <w:color w:val="000000"/>
          <w:szCs w:val="20"/>
        </w:rPr>
        <w:t>Szob feletti és a Szob alatti</w:t>
      </w:r>
      <w:r w:rsidRPr="00AB76DF">
        <w:rPr>
          <w:rFonts w:ascii="Times New Roman félkövér" w:hAnsi="Times New Roman félkövér" w:cs="Arial"/>
          <w:b/>
          <w:color w:val="000000"/>
          <w:szCs w:val="20"/>
        </w:rPr>
        <w:t xml:space="preserve"> Duna szakaszon a hajózhatóság feltételeinek javítására tervezett beavatkozások Stratégiai</w:t>
      </w:r>
      <w:r w:rsidRPr="00144725">
        <w:rPr>
          <w:rFonts w:cs="Arial"/>
          <w:b/>
          <w:color w:val="000000"/>
          <w:sz w:val="20"/>
          <w:szCs w:val="20"/>
        </w:rPr>
        <w:t xml:space="preserve"> </w:t>
      </w:r>
      <w:r w:rsidRPr="00AB76DF">
        <w:rPr>
          <w:rFonts w:ascii="Times New Roman félkövér" w:hAnsi="Times New Roman félkövér" w:cs="Arial"/>
          <w:b/>
          <w:color w:val="000000"/>
          <w:szCs w:val="20"/>
        </w:rPr>
        <w:t>Környezeti</w:t>
      </w:r>
      <w:r w:rsidRPr="00AB76DF">
        <w:rPr>
          <w:rFonts w:cs="Arial"/>
          <w:b/>
          <w:color w:val="000000"/>
          <w:szCs w:val="20"/>
        </w:rPr>
        <w:t xml:space="preserve"> Vizsgálata </w:t>
      </w:r>
    </w:p>
    <w:p w:rsidR="00B75C55" w:rsidRDefault="00B75C55" w:rsidP="008A512A">
      <w:pPr>
        <w:rPr>
          <w:color w:val="000000"/>
        </w:rPr>
      </w:pPr>
    </w:p>
    <w:p w:rsidR="008A512A" w:rsidRPr="00144725" w:rsidRDefault="006A3F64" w:rsidP="00B75C55">
      <w:pPr>
        <w:jc w:val="center"/>
        <w:rPr>
          <w:b/>
        </w:rPr>
      </w:pPr>
      <w:r>
        <w:rPr>
          <w:b/>
        </w:rPr>
        <w:t>A</w:t>
      </w:r>
      <w:r w:rsidR="00144725" w:rsidRPr="00144725">
        <w:rPr>
          <w:b/>
        </w:rPr>
        <w:t>z O</w:t>
      </w:r>
      <w:r>
        <w:rPr>
          <w:b/>
        </w:rPr>
        <w:t xml:space="preserve">rszágos </w:t>
      </w:r>
      <w:r w:rsidR="00144725" w:rsidRPr="00144725">
        <w:rPr>
          <w:b/>
        </w:rPr>
        <w:t>K</w:t>
      </w:r>
      <w:r>
        <w:rPr>
          <w:b/>
        </w:rPr>
        <w:t xml:space="preserve">örnyezetvédelmi </w:t>
      </w:r>
      <w:r w:rsidR="00144725" w:rsidRPr="00144725">
        <w:rPr>
          <w:b/>
        </w:rPr>
        <w:t>T</w:t>
      </w:r>
      <w:r>
        <w:rPr>
          <w:b/>
        </w:rPr>
        <w:t>anács 2010. január 8-án tartott ülésén elfogadott</w:t>
      </w:r>
      <w:r w:rsidR="00144725" w:rsidRPr="00144725">
        <w:rPr>
          <w:b/>
        </w:rPr>
        <w:t xml:space="preserve"> állásfoglalás</w:t>
      </w:r>
    </w:p>
    <w:p w:rsidR="008A512A" w:rsidRDefault="008A512A"/>
    <w:p w:rsidR="001F30AF" w:rsidRDefault="001F30AF"/>
    <w:p w:rsidR="006A3F64" w:rsidRDefault="006A3F64"/>
    <w:p w:rsidR="00B75C55" w:rsidRPr="00B75C55" w:rsidRDefault="00B75C55" w:rsidP="00B75C55">
      <w:pPr>
        <w:jc w:val="both"/>
        <w:rPr>
          <w:rFonts w:ascii="Times New Roman félkövér" w:hAnsi="Times New Roman félkövér"/>
          <w:b/>
        </w:rPr>
      </w:pPr>
      <w:r w:rsidRPr="00B75C55">
        <w:rPr>
          <w:rFonts w:ascii="Times New Roman félkövér" w:hAnsi="Times New Roman félkövér"/>
          <w:b/>
        </w:rPr>
        <w:t>A Stratégiai Környezeti Vizsgálatokra vonatkozó általános megállapítások</w:t>
      </w:r>
    </w:p>
    <w:p w:rsidR="00B75C55" w:rsidRDefault="00B75C55" w:rsidP="00B75C55">
      <w:pPr>
        <w:jc w:val="both"/>
      </w:pPr>
    </w:p>
    <w:p w:rsidR="008573F8" w:rsidRDefault="00B75C55" w:rsidP="002412CF">
      <w:pPr>
        <w:jc w:val="both"/>
      </w:pPr>
      <w:r>
        <w:t xml:space="preserve">1. Az OKT megállapította, hogy </w:t>
      </w:r>
      <w:r w:rsidR="006A3F64">
        <w:t xml:space="preserve">a Szob feletti és a Szob alatti magyarországi Duna szakaszra készített </w:t>
      </w:r>
      <w:r>
        <w:t xml:space="preserve">Stratégiai Környezeti Vizsgálat </w:t>
      </w:r>
      <w:r w:rsidR="006A3F64">
        <w:t xml:space="preserve">is </w:t>
      </w:r>
      <w:r>
        <w:t xml:space="preserve">megfelel a vonatkozó hazai és EU jogszabály előírásainak. A két SKV nem ugyanazt a módszertant alkalmazta, azonban ezt a jogszabályok előírásai lehetővé teszik. </w:t>
      </w:r>
    </w:p>
    <w:p w:rsidR="008573F8" w:rsidRDefault="008573F8" w:rsidP="002412CF">
      <w:pPr>
        <w:jc w:val="both"/>
      </w:pPr>
    </w:p>
    <w:p w:rsidR="007F71C1" w:rsidRDefault="008573F8" w:rsidP="002412CF">
      <w:pPr>
        <w:jc w:val="both"/>
      </w:pPr>
      <w:r>
        <w:t xml:space="preserve">2. </w:t>
      </w:r>
      <w:r w:rsidR="00B75C55">
        <w:t>A</w:t>
      </w:r>
      <w:r w:rsidR="006A3F64">
        <w:t>z el</w:t>
      </w:r>
      <w:r w:rsidR="00B75C55">
        <w:t xml:space="preserve">végzett stratégiai környezeti vizsgálatoknak fontos eredményei voltak, azonban azt nem lehetett várni, hogy ezek alapján </w:t>
      </w:r>
      <w:r w:rsidR="006A3F64">
        <w:t>már ki</w:t>
      </w:r>
      <w:r w:rsidR="00B75C55">
        <w:t>választ</w:t>
      </w:r>
      <w:r w:rsidR="006A3F64">
        <w:t>hatók</w:t>
      </w:r>
      <w:r w:rsidR="00B75C55">
        <w:t xml:space="preserve"> az alkalmaz</w:t>
      </w:r>
      <w:r w:rsidR="006A3F64">
        <w:t>ható</w:t>
      </w:r>
      <w:r w:rsidR="00B75C55">
        <w:t xml:space="preserve"> beavatkozások. </w:t>
      </w:r>
      <w:r w:rsidR="00B75C55" w:rsidRPr="00CC3482">
        <w:t>Ezt csak a</w:t>
      </w:r>
      <w:r w:rsidR="00CC3482" w:rsidRPr="00CC3482">
        <w:t xml:space="preserve">z SKV </w:t>
      </w:r>
      <w:r w:rsidR="006A3F64">
        <w:t xml:space="preserve">ajánlásainak </w:t>
      </w:r>
      <w:r w:rsidR="00CC3482" w:rsidRPr="00CC3482">
        <w:t xml:space="preserve">figyelembevételével készített </w:t>
      </w:r>
      <w:r w:rsidR="00B75C55" w:rsidRPr="00CC3482">
        <w:t>részletes tervek alapján</w:t>
      </w:r>
      <w:r w:rsidR="00CC3482" w:rsidRPr="00CC3482">
        <w:t xml:space="preserve">, az SKV ajánlásai szerint </w:t>
      </w:r>
      <w:r w:rsidR="00B75C55" w:rsidRPr="00CC3482">
        <w:t xml:space="preserve">végzett </w:t>
      </w:r>
      <w:r w:rsidR="00CC3482" w:rsidRPr="00CC3482">
        <w:t>VKI 4.7 tesztek</w:t>
      </w:r>
      <w:r w:rsidR="006A3F64">
        <w:t xml:space="preserve"> és</w:t>
      </w:r>
      <w:r w:rsidR="00CC3482" w:rsidRPr="00CC3482">
        <w:t xml:space="preserve"> </w:t>
      </w:r>
      <w:r w:rsidR="00523DBC">
        <w:t xml:space="preserve">az </w:t>
      </w:r>
      <w:r w:rsidR="007F71C1" w:rsidRPr="006F1A43">
        <w:t>Élőhelyvédelmi Irányelv 6. cikkének 3. és 4</w:t>
      </w:r>
      <w:r w:rsidR="00523DBC" w:rsidRPr="006F1A43">
        <w:t>. bekezdése szerinti vizsgálatok</w:t>
      </w:r>
      <w:r w:rsidR="007F71C1" w:rsidRPr="006F1A43">
        <w:t xml:space="preserve"> (továbbiakban: </w:t>
      </w:r>
      <w:r w:rsidR="00CC3482" w:rsidRPr="006F1A43">
        <w:t>Élőhely tesztek</w:t>
      </w:r>
      <w:r w:rsidR="007F71C1" w:rsidRPr="006F1A43">
        <w:t>)</w:t>
      </w:r>
      <w:r w:rsidR="00CC3482" w:rsidRPr="007F71C1">
        <w:t xml:space="preserve"> elvégzésével lehet megtenni.</w:t>
      </w:r>
      <w:r w:rsidR="00B75C55">
        <w:t xml:space="preserve"> </w:t>
      </w:r>
      <w:r w:rsidR="006D264A">
        <w:t>(</w:t>
      </w:r>
      <w:r w:rsidR="00B75C55">
        <w:t xml:space="preserve">Ez </w:t>
      </w:r>
      <w:r w:rsidR="006D264A">
        <w:t xml:space="preserve">van </w:t>
      </w:r>
      <w:r w:rsidR="00B75C55">
        <w:t xml:space="preserve">összhangban a hajóút paramétereit javító beavatkozások tervezésére vonatkozó EU </w:t>
      </w:r>
      <w:r w:rsidR="006D264A">
        <w:t xml:space="preserve">szabályokkal, </w:t>
      </w:r>
      <w:r w:rsidR="00B75C55">
        <w:t>ajánlásokkal és irányzatokkal</w:t>
      </w:r>
      <w:r w:rsidR="006D264A">
        <w:t>)</w:t>
      </w:r>
      <w:r w:rsidR="00B75C55">
        <w:t>.</w:t>
      </w:r>
      <w:r w:rsidR="006D264A">
        <w:t xml:space="preserve"> </w:t>
      </w:r>
      <w:r w:rsidR="007F71C1">
        <w:t xml:space="preserve">Ezek eredményeit figyelembe véve kell </w:t>
      </w:r>
      <w:r w:rsidR="007F71C1" w:rsidRPr="006F1A43">
        <w:t>az európai közösségi jelentőségű természetvédelmi rendeltetésű területekről szóló 275/2004. Korm. rendelet (továbbiakban: Natura Korm. rendelet) 10-10/A. §-ai alapján a Natura hatásbecslést és</w:t>
      </w:r>
      <w:r w:rsidR="007F71C1">
        <w:t xml:space="preserve"> a szükséges környezeti hatásvizsgálatokat elvégezni.</w:t>
      </w:r>
    </w:p>
    <w:p w:rsidR="007968A2" w:rsidRDefault="007F71C1" w:rsidP="002412CF">
      <w:pPr>
        <w:jc w:val="both"/>
      </w:pPr>
      <w:r>
        <w:t xml:space="preserve"> </w:t>
      </w:r>
    </w:p>
    <w:p w:rsidR="00B85726" w:rsidRPr="008573F8" w:rsidRDefault="00B85726" w:rsidP="002412CF">
      <w:pPr>
        <w:jc w:val="both"/>
        <w:rPr>
          <w:rFonts w:ascii="Times New Roman félkövér" w:hAnsi="Times New Roman félkövér"/>
          <w:b/>
        </w:rPr>
      </w:pPr>
      <w:r w:rsidRPr="008573F8">
        <w:rPr>
          <w:rFonts w:ascii="Times New Roman félkövér" w:hAnsi="Times New Roman félkövér"/>
          <w:b/>
        </w:rPr>
        <w:t>A vizsgált beavatkozási változatokra vonatkozó megállapítások</w:t>
      </w:r>
    </w:p>
    <w:p w:rsidR="00B85726" w:rsidRDefault="00B85726" w:rsidP="002412CF">
      <w:pPr>
        <w:jc w:val="both"/>
      </w:pPr>
    </w:p>
    <w:p w:rsidR="008573F8" w:rsidRDefault="00A73D60" w:rsidP="002412CF">
      <w:pPr>
        <w:jc w:val="both"/>
      </w:pPr>
      <w:r>
        <w:t>3</w:t>
      </w:r>
      <w:r w:rsidR="008573F8">
        <w:t xml:space="preserve">. </w:t>
      </w:r>
      <w:r w:rsidR="00F36B8E">
        <w:t xml:space="preserve">Az OKT megállapította, hogy </w:t>
      </w:r>
      <w:r w:rsidR="00A96129">
        <w:t>az SKV jelentésekben a 2009. november 1</w:t>
      </w:r>
      <w:r w:rsidR="008573F8">
        <w:t>6</w:t>
      </w:r>
      <w:r w:rsidR="00A96129">
        <w:t>-</w:t>
      </w:r>
      <w:r w:rsidR="008573F8">
        <w:t>á</w:t>
      </w:r>
      <w:r w:rsidR="00A96129">
        <w:t xml:space="preserve">n keltezett OKT állásfoglalás megállapításait és ajánlásait </w:t>
      </w:r>
      <w:r w:rsidR="00DA5340">
        <w:t>többnyire</w:t>
      </w:r>
      <w:r w:rsidR="006D264A">
        <w:t xml:space="preserve"> </w:t>
      </w:r>
      <w:r>
        <w:t xml:space="preserve">már </w:t>
      </w:r>
      <w:r w:rsidR="00A96129">
        <w:t xml:space="preserve">figyelembe vették. </w:t>
      </w:r>
      <w:r w:rsidR="00DA5ACD">
        <w:t xml:space="preserve">Az OKT felhívja a figyelmet arra, hogy a további tervezés során a </w:t>
      </w:r>
      <w:r w:rsidR="00CD6B0C">
        <w:t xml:space="preserve">környezeti fenntarthatóság biztosítása érdekében az OKT </w:t>
      </w:r>
      <w:r w:rsidR="00DA5ACD">
        <w:t>többi ajánlás</w:t>
      </w:r>
      <w:r w:rsidR="00CD6B0C">
        <w:t>á</w:t>
      </w:r>
      <w:r w:rsidR="00FE04BA">
        <w:t>ra is tekintettel kell lenni.</w:t>
      </w:r>
    </w:p>
    <w:p w:rsidR="008573F8" w:rsidRDefault="008573F8" w:rsidP="002412CF">
      <w:pPr>
        <w:jc w:val="both"/>
      </w:pPr>
    </w:p>
    <w:p w:rsidR="008573F8" w:rsidRDefault="00A73D60" w:rsidP="002412CF">
      <w:pPr>
        <w:jc w:val="both"/>
      </w:pPr>
      <w:smartTag w:uri="urn:schemas-microsoft-com:office:smarttags" w:element="metricconverter">
        <w:smartTagPr>
          <w:attr w:name="ProductID" w:val="4. A"/>
        </w:smartTagPr>
        <w:r>
          <w:t>4</w:t>
        </w:r>
        <w:r w:rsidR="008573F8">
          <w:t xml:space="preserve">. </w:t>
        </w:r>
        <w:r w:rsidR="00A96129">
          <w:t>A</w:t>
        </w:r>
      </w:smartTag>
      <w:r w:rsidR="00F36B8E">
        <w:t xml:space="preserve"> Szob-Dél</w:t>
      </w:r>
      <w:r w:rsidR="00A96129">
        <w:t>i-országhatár közötti szakaszra készült SKV tájékoztatást ad arról, hogy a tervezők az addig vizsgált változatokon felül - a Szob feletti szakaszhoz hasonlóan – a hajóút áthelyezésére, a kitűzés megváltoztatására, helyenként és időnként keskenyebb hajóút biztosítására épülő, kisebb beavatkozásokat ig</w:t>
      </w:r>
      <w:r w:rsidR="005F12E9">
        <w:t>énylő változatot is vizsgálnak.</w:t>
      </w:r>
    </w:p>
    <w:p w:rsidR="008573F8" w:rsidRDefault="008573F8" w:rsidP="002412CF">
      <w:pPr>
        <w:jc w:val="both"/>
      </w:pPr>
    </w:p>
    <w:p w:rsidR="00A96129" w:rsidRDefault="00A73D60" w:rsidP="002412CF">
      <w:pPr>
        <w:jc w:val="both"/>
      </w:pPr>
      <w:r>
        <w:t>5</w:t>
      </w:r>
      <w:r w:rsidR="008573F8">
        <w:t>. Az SKV jelentésekből megállapítható, hogy a</w:t>
      </w:r>
      <w:r w:rsidR="00A96129">
        <w:t xml:space="preserve"> hajóút paramétereinek javítására szolgáló beavatkozásoknak</w:t>
      </w:r>
      <w:r w:rsidR="008573F8">
        <w:t xml:space="preserve"> </w:t>
      </w:r>
      <w:r w:rsidR="00A96129">
        <w:t xml:space="preserve">a Szob feletti és a Szob alatti szakaszon is vizsgálják </w:t>
      </w:r>
      <w:r w:rsidR="006F1A43">
        <w:t>a</w:t>
      </w:r>
      <w:r w:rsidR="00A96129">
        <w:t xml:space="preserve"> hajózás alapfeltételeit még biztosító, de legkisebb beavatkozásokat igénylő alternatívá</w:t>
      </w:r>
      <w:r w:rsidR="006F1A43">
        <w:t>it</w:t>
      </w:r>
      <w:r w:rsidR="00A96129">
        <w:t>. A hajóút paramétereinek javítását az egyes szakaszokon a következő beavatkozásokkal tervezik meg</w:t>
      </w:r>
      <w:r w:rsidR="008573F8">
        <w:t>oldani</w:t>
      </w:r>
      <w:r w:rsidR="00A96129">
        <w:t>.</w:t>
      </w:r>
    </w:p>
    <w:p w:rsidR="00F36B8E" w:rsidRDefault="00F36B8E" w:rsidP="002412CF">
      <w:pPr>
        <w:jc w:val="both"/>
      </w:pPr>
    </w:p>
    <w:p w:rsidR="00F36B8E" w:rsidRPr="00F35466" w:rsidRDefault="00F36B8E" w:rsidP="002412CF">
      <w:pPr>
        <w:autoSpaceDE w:val="0"/>
        <w:autoSpaceDN w:val="0"/>
        <w:adjustRightInd w:val="0"/>
        <w:jc w:val="both"/>
        <w:rPr>
          <w:i/>
        </w:rPr>
      </w:pPr>
      <w:r w:rsidRPr="00F35466">
        <w:rPr>
          <w:i/>
        </w:rPr>
        <w:lastRenderedPageBreak/>
        <w:t>A Szap-Szob szakaszon figyelembe ve</w:t>
      </w:r>
      <w:r w:rsidR="006D264A">
        <w:rPr>
          <w:i/>
        </w:rPr>
        <w:t>endő</w:t>
      </w:r>
      <w:r w:rsidRPr="00F35466">
        <w:rPr>
          <w:i/>
        </w:rPr>
        <w:t xml:space="preserve"> beavatkozási változatok:</w:t>
      </w:r>
    </w:p>
    <w:p w:rsidR="00F36B8E" w:rsidRDefault="00F36B8E" w:rsidP="002412CF">
      <w:pPr>
        <w:autoSpaceDE w:val="0"/>
        <w:autoSpaceDN w:val="0"/>
        <w:adjustRightInd w:val="0"/>
        <w:jc w:val="both"/>
        <w:rPr>
          <w:rFonts w:cs="Arial"/>
          <w:szCs w:val="21"/>
        </w:rPr>
      </w:pPr>
    </w:p>
    <w:p w:rsidR="00F36B8E" w:rsidRPr="001538F8" w:rsidRDefault="00F36B8E" w:rsidP="002412CF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538F8">
        <w:rPr>
          <w:rFonts w:cs="Arial"/>
          <w:szCs w:val="21"/>
        </w:rPr>
        <w:t>Első beavatkozási változat:</w:t>
      </w:r>
      <w:r>
        <w:rPr>
          <w:rFonts w:cs="Arial"/>
          <w:szCs w:val="21"/>
        </w:rPr>
        <w:t xml:space="preserve"> </w:t>
      </w:r>
      <w:r w:rsidRPr="001538F8">
        <w:t>2,5 m-es merülésű</w:t>
      </w:r>
      <w:r w:rsidRPr="001538F8">
        <w:rPr>
          <w:rFonts w:eastAsia="TimesNewRoman" w:cs="TimesNewRoman"/>
        </w:rPr>
        <w:t xml:space="preserve"> </w:t>
      </w:r>
      <w:r w:rsidRPr="001538F8">
        <w:t>hajók közlekedésének biztosítása</w:t>
      </w:r>
      <w:r w:rsidRPr="001538F8">
        <w:rPr>
          <w:rFonts w:cs="Arial"/>
          <w:szCs w:val="21"/>
        </w:rPr>
        <w:t xml:space="preserve"> </w:t>
      </w:r>
      <w:r>
        <w:rPr>
          <w:rFonts w:cs="Arial"/>
          <w:szCs w:val="21"/>
        </w:rPr>
        <w:t>k</w:t>
      </w:r>
      <w:r w:rsidRPr="001538F8">
        <w:rPr>
          <w:rFonts w:cs="Arial"/>
          <w:szCs w:val="21"/>
        </w:rPr>
        <w:t>otrással, sarkantyúk és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>vezetőmű építésével, sarkantyúk kiegészítésével, illetve megrövidítésével</w:t>
      </w:r>
    </w:p>
    <w:p w:rsidR="00F36B8E" w:rsidRPr="001538F8" w:rsidRDefault="00F36B8E" w:rsidP="002412CF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538F8">
        <w:rPr>
          <w:rFonts w:cs="Arial"/>
          <w:szCs w:val="21"/>
        </w:rPr>
        <w:t xml:space="preserve">Második beavatkozási változat: </w:t>
      </w:r>
      <w:r w:rsidRPr="001538F8">
        <w:t>2,5 m-es merülésű</w:t>
      </w:r>
      <w:r w:rsidRPr="001538F8">
        <w:rPr>
          <w:rFonts w:eastAsia="TimesNewRoman" w:cs="TimesNewRoman"/>
        </w:rPr>
        <w:t xml:space="preserve"> </w:t>
      </w:r>
      <w:r w:rsidRPr="001538F8">
        <w:t>hajók közlekedésének biztosítása</w:t>
      </w:r>
      <w:r>
        <w:t xml:space="preserve"> </w:t>
      </w:r>
      <w:r w:rsidRPr="001538F8">
        <w:rPr>
          <w:rFonts w:cs="Arial"/>
          <w:szCs w:val="21"/>
        </w:rPr>
        <w:t>kotrással, sarkantyúk és vezetőmű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 xml:space="preserve">építésével, sarkantyúk kiegészítésével, </w:t>
      </w:r>
      <w:r>
        <w:rPr>
          <w:rFonts w:cs="Arial"/>
          <w:szCs w:val="21"/>
        </w:rPr>
        <w:t xml:space="preserve">illetve </w:t>
      </w:r>
      <w:r w:rsidRPr="001538F8">
        <w:rPr>
          <w:rFonts w:cs="Arial"/>
          <w:szCs w:val="21"/>
        </w:rPr>
        <w:t>megrövidítésével és a medermélyülés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>megakadályozása érdekében kavics visszatöltésével</w:t>
      </w:r>
    </w:p>
    <w:p w:rsidR="00F36B8E" w:rsidRPr="001538F8" w:rsidRDefault="00F36B8E" w:rsidP="002412CF">
      <w:pPr>
        <w:numPr>
          <w:ilvl w:val="0"/>
          <w:numId w:val="2"/>
        </w:numPr>
        <w:autoSpaceDE w:val="0"/>
        <w:autoSpaceDN w:val="0"/>
        <w:adjustRightInd w:val="0"/>
        <w:jc w:val="both"/>
      </w:pPr>
      <w:r w:rsidRPr="001538F8">
        <w:rPr>
          <w:rFonts w:cs="Arial"/>
          <w:szCs w:val="21"/>
        </w:rPr>
        <w:t xml:space="preserve">Harmadik beavatkozási változat: </w:t>
      </w:r>
      <w:r w:rsidRPr="001538F8">
        <w:t>2,5 m-es merülésű</w:t>
      </w:r>
      <w:r w:rsidRPr="001538F8">
        <w:rPr>
          <w:rFonts w:eastAsia="TimesNewRoman" w:cs="TimesNewRoman"/>
        </w:rPr>
        <w:t xml:space="preserve"> </w:t>
      </w:r>
      <w:r w:rsidRPr="001538F8">
        <w:t>hajók közlekedésének biztosítása</w:t>
      </w:r>
      <w:r>
        <w:t xml:space="preserve"> </w:t>
      </w:r>
      <w:r w:rsidRPr="001538F8">
        <w:rPr>
          <w:rFonts w:cs="Arial"/>
          <w:szCs w:val="21"/>
        </w:rPr>
        <w:t>kotrással, a hajóút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>kitűzésének módosításával, a hajóút nyomvonalának áthelyezésével és a hajóút kitűzésének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 xml:space="preserve">módosításával, valamint </w:t>
      </w:r>
      <w:r>
        <w:rPr>
          <w:rFonts w:cs="Arial"/>
          <w:szCs w:val="21"/>
        </w:rPr>
        <w:t xml:space="preserve">helyenként és időszakonként </w:t>
      </w:r>
      <w:r w:rsidRPr="001538F8">
        <w:rPr>
          <w:rFonts w:cs="Arial"/>
          <w:szCs w:val="21"/>
        </w:rPr>
        <w:t xml:space="preserve">keskenyebb hajóút biztosításával </w:t>
      </w:r>
    </w:p>
    <w:p w:rsidR="00F36B8E" w:rsidRPr="001538F8" w:rsidRDefault="00F36B8E" w:rsidP="002412CF">
      <w:pPr>
        <w:autoSpaceDE w:val="0"/>
        <w:autoSpaceDN w:val="0"/>
        <w:adjustRightInd w:val="0"/>
        <w:jc w:val="both"/>
      </w:pPr>
    </w:p>
    <w:p w:rsidR="00F36B8E" w:rsidRPr="00F35466" w:rsidRDefault="00F36B8E" w:rsidP="002412CF">
      <w:pPr>
        <w:autoSpaceDE w:val="0"/>
        <w:autoSpaceDN w:val="0"/>
        <w:adjustRightInd w:val="0"/>
        <w:jc w:val="both"/>
        <w:rPr>
          <w:i/>
        </w:rPr>
      </w:pPr>
      <w:r w:rsidRPr="00F35466">
        <w:rPr>
          <w:i/>
        </w:rPr>
        <w:t>A Szob-Déli országhatár közötti szakaszon figyelembe ve</w:t>
      </w:r>
      <w:r w:rsidR="006D264A">
        <w:rPr>
          <w:i/>
        </w:rPr>
        <w:t>endő</w:t>
      </w:r>
      <w:r w:rsidRPr="00F35466">
        <w:rPr>
          <w:i/>
        </w:rPr>
        <w:t xml:space="preserve"> beavatkozási változatok:</w:t>
      </w:r>
    </w:p>
    <w:p w:rsidR="00F36B8E" w:rsidRPr="001538F8" w:rsidRDefault="00F36B8E" w:rsidP="002412CF">
      <w:pPr>
        <w:autoSpaceDE w:val="0"/>
        <w:autoSpaceDN w:val="0"/>
        <w:adjustRightInd w:val="0"/>
        <w:jc w:val="both"/>
        <w:rPr>
          <w:rFonts w:cs="Symbol"/>
        </w:rPr>
      </w:pPr>
    </w:p>
    <w:p w:rsidR="00F36B8E" w:rsidRPr="001538F8" w:rsidRDefault="00F36B8E" w:rsidP="002412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538F8">
        <w:t xml:space="preserve">Első </w:t>
      </w:r>
      <w:r>
        <w:t xml:space="preserve">beavatkozási </w:t>
      </w:r>
      <w:r w:rsidRPr="001538F8">
        <w:t>változat: 2,5 m-es merülésű</w:t>
      </w:r>
      <w:r w:rsidRPr="001538F8">
        <w:rPr>
          <w:rFonts w:eastAsia="TimesNewRoman" w:cs="TimesNewRoman"/>
        </w:rPr>
        <w:t xml:space="preserve"> </w:t>
      </w:r>
      <w:r w:rsidRPr="001538F8">
        <w:t>hajók közlekedésének biztosítása 180 m-es hajóút</w:t>
      </w:r>
      <w:r>
        <w:t xml:space="preserve"> </w:t>
      </w:r>
      <w:r w:rsidRPr="001538F8">
        <w:t>szélességgel,</w:t>
      </w:r>
      <w:r>
        <w:t xml:space="preserve"> </w:t>
      </w:r>
      <w:r w:rsidRPr="001538F8">
        <w:rPr>
          <w:rFonts w:cs="Arial"/>
          <w:szCs w:val="21"/>
        </w:rPr>
        <w:t>kotrással, sarkantyúk és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>vezetőmű építésével, sarkantyúk kiegészítésével, illetve megrövidítésével</w:t>
      </w:r>
    </w:p>
    <w:p w:rsidR="00F36B8E" w:rsidRPr="001538F8" w:rsidRDefault="00F36B8E" w:rsidP="002412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538F8">
        <w:t xml:space="preserve">Második </w:t>
      </w:r>
      <w:r>
        <w:t xml:space="preserve">beavatkozási </w:t>
      </w:r>
      <w:r w:rsidRPr="001538F8">
        <w:t>változat: 2,5 m-es merülésű</w:t>
      </w:r>
      <w:r w:rsidRPr="001538F8">
        <w:rPr>
          <w:rFonts w:eastAsia="TimesNewRoman" w:cs="TimesNewRoman"/>
        </w:rPr>
        <w:t xml:space="preserve"> </w:t>
      </w:r>
      <w:r w:rsidRPr="001538F8">
        <w:t xml:space="preserve">hajók közlekedésének biztosítása </w:t>
      </w:r>
      <w:r w:rsidRPr="001538F8">
        <w:rPr>
          <w:rFonts w:cs="Arial"/>
          <w:szCs w:val="21"/>
        </w:rPr>
        <w:t>kotrással, sarkantyúk és vezetőmű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>építésével, sarkantyúk kiegészítésével, megrövidítésével és a medermélyülés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>megakadályozása érdekében kavics visszatöltésével</w:t>
      </w:r>
      <w:r>
        <w:rPr>
          <w:rFonts w:cs="Arial"/>
          <w:szCs w:val="21"/>
        </w:rPr>
        <w:t>,</w:t>
      </w:r>
      <w:r w:rsidRPr="001538F8">
        <w:t xml:space="preserve"> 120-</w:t>
      </w:r>
      <w:smartTag w:uri="urn:schemas-microsoft-com:office:smarttags" w:element="metricconverter">
        <w:smartTagPr>
          <w:attr w:name="ProductID" w:val="180 m"/>
        </w:smartTagPr>
        <w:r w:rsidRPr="001538F8">
          <w:t>180 m</w:t>
        </w:r>
      </w:smartTag>
      <w:r>
        <w:t xml:space="preserve"> </w:t>
      </w:r>
      <w:r w:rsidRPr="001538F8">
        <w:t>közötti szélességű</w:t>
      </w:r>
      <w:r w:rsidRPr="001538F8">
        <w:rPr>
          <w:rFonts w:eastAsia="TimesNewRoman" w:cs="TimesNewRoman"/>
        </w:rPr>
        <w:t xml:space="preserve"> </w:t>
      </w:r>
      <w:r w:rsidRPr="001538F8">
        <w:t xml:space="preserve">hajóúton, helyenként </w:t>
      </w:r>
      <w:r>
        <w:t xml:space="preserve">és időszakonként </w:t>
      </w:r>
      <w:r w:rsidRPr="001538F8">
        <w:t>egyirányú áthaladással,</w:t>
      </w:r>
    </w:p>
    <w:p w:rsidR="00F36B8E" w:rsidRPr="001538F8" w:rsidRDefault="00F36B8E" w:rsidP="002412CF">
      <w:pPr>
        <w:numPr>
          <w:ilvl w:val="0"/>
          <w:numId w:val="3"/>
        </w:numPr>
        <w:autoSpaceDE w:val="0"/>
        <w:autoSpaceDN w:val="0"/>
        <w:adjustRightInd w:val="0"/>
        <w:jc w:val="both"/>
      </w:pPr>
      <w:r w:rsidRPr="001538F8">
        <w:t xml:space="preserve">Harmadik </w:t>
      </w:r>
      <w:r>
        <w:t xml:space="preserve">beavatkozási </w:t>
      </w:r>
      <w:r w:rsidRPr="001538F8">
        <w:t>változat: 2,5 m-es merülésű</w:t>
      </w:r>
      <w:r w:rsidRPr="001538F8">
        <w:rPr>
          <w:rFonts w:eastAsia="TimesNewRoman" w:cs="TimesNewRoman"/>
        </w:rPr>
        <w:t xml:space="preserve"> </w:t>
      </w:r>
      <w:r w:rsidRPr="001538F8">
        <w:t xml:space="preserve">hajók közlekedésének biztosítása kotrással, </w:t>
      </w:r>
      <w:r w:rsidRPr="001538F8">
        <w:rPr>
          <w:rFonts w:cs="Arial"/>
          <w:szCs w:val="21"/>
        </w:rPr>
        <w:t>a medermélyülés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>megakadályozása érdekében kavics visszatöltésével</w:t>
      </w:r>
      <w:r>
        <w:rPr>
          <w:rFonts w:cs="Arial"/>
          <w:szCs w:val="21"/>
        </w:rPr>
        <w:t>,</w:t>
      </w:r>
      <w:r w:rsidRPr="001538F8">
        <w:rPr>
          <w:rFonts w:cs="Arial"/>
          <w:szCs w:val="21"/>
        </w:rPr>
        <w:t xml:space="preserve"> a hajóút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>kitűzésének módosításával, a hajóút nyomvonalának áthelyezésével és a hajóút kitűzésének</w:t>
      </w:r>
      <w:r>
        <w:rPr>
          <w:rFonts w:cs="Arial"/>
          <w:szCs w:val="21"/>
        </w:rPr>
        <w:t xml:space="preserve"> </w:t>
      </w:r>
      <w:r w:rsidRPr="001538F8">
        <w:rPr>
          <w:rFonts w:cs="Arial"/>
          <w:szCs w:val="21"/>
        </w:rPr>
        <w:t xml:space="preserve">módosításával, </w:t>
      </w:r>
      <w:r w:rsidRPr="001538F8">
        <w:t>120-</w:t>
      </w:r>
      <w:smartTag w:uri="urn:schemas-microsoft-com:office:smarttags" w:element="metricconverter">
        <w:smartTagPr>
          <w:attr w:name="ProductID" w:val="180 m"/>
        </w:smartTagPr>
        <w:r w:rsidRPr="001538F8">
          <w:t>180 m</w:t>
        </w:r>
      </w:smartTag>
      <w:r>
        <w:t xml:space="preserve"> </w:t>
      </w:r>
      <w:r w:rsidRPr="001538F8">
        <w:t>közötti szélességű</w:t>
      </w:r>
      <w:r w:rsidRPr="001538F8">
        <w:rPr>
          <w:rFonts w:eastAsia="TimesNewRoman" w:cs="TimesNewRoman"/>
        </w:rPr>
        <w:t xml:space="preserve"> </w:t>
      </w:r>
      <w:r w:rsidRPr="001538F8">
        <w:t xml:space="preserve">hajóúton, helyenként </w:t>
      </w:r>
      <w:r>
        <w:t xml:space="preserve">és időszakonként </w:t>
      </w:r>
      <w:r w:rsidRPr="001538F8">
        <w:t>egyirányú áthaladással</w:t>
      </w:r>
    </w:p>
    <w:p w:rsidR="00F36B8E" w:rsidRPr="001538F8" w:rsidRDefault="00F36B8E" w:rsidP="002412CF">
      <w:pPr>
        <w:jc w:val="both"/>
      </w:pPr>
    </w:p>
    <w:p w:rsidR="00B85726" w:rsidRPr="00182CC1" w:rsidRDefault="00A73D60" w:rsidP="002412CF">
      <w:pPr>
        <w:jc w:val="both"/>
      </w:pPr>
      <w:r>
        <w:t>6</w:t>
      </w:r>
      <w:r w:rsidR="008573F8">
        <w:t xml:space="preserve">. </w:t>
      </w:r>
      <w:r w:rsidR="00B85726">
        <w:t>Mindkét szakaszon foglalkoznak a tervek, illetve tanulmányok a tervezett beavatkozásoknak</w:t>
      </w:r>
      <w:r w:rsidR="008573F8">
        <w:t xml:space="preserve"> a</w:t>
      </w:r>
      <w:r w:rsidR="00B85726">
        <w:t xml:space="preserve"> Duna főágának </w:t>
      </w:r>
      <w:r w:rsidR="00A52051">
        <w:t>hidromorfológiai, hidrológiai, hidraulikai, fizikai és hidrobiológiai</w:t>
      </w:r>
      <w:r w:rsidR="00B85726">
        <w:t xml:space="preserve"> állapotára és a partiszűrés</w:t>
      </w:r>
      <w:r w:rsidR="008573F8">
        <w:t>ű</w:t>
      </w:r>
      <w:r w:rsidR="00B85726">
        <w:t xml:space="preserve"> vízbázisokra gyakorolt hatásaival és a legértékesebb</w:t>
      </w:r>
      <w:r w:rsidR="00A52051">
        <w:t>nek tartott</w:t>
      </w:r>
      <w:r w:rsidR="005F12E9">
        <w:t xml:space="preserve"> mellékágak rehabilitációjával, </w:t>
      </w:r>
      <w:r w:rsidR="005F12E9" w:rsidRPr="00CC60C5">
        <w:t>azonban a jövőbeli részletesebb tervezés során az ökológiai szempontok vizsgálatára nagyobb hangsúlyt kell fektetni, s az állításokat szakmailag alá kell támasztani.</w:t>
      </w:r>
    </w:p>
    <w:p w:rsidR="00B85726" w:rsidRDefault="00B85726" w:rsidP="002412CF">
      <w:pPr>
        <w:jc w:val="both"/>
      </w:pPr>
    </w:p>
    <w:p w:rsidR="00B85726" w:rsidRDefault="00A73D60" w:rsidP="002412CF">
      <w:pPr>
        <w:jc w:val="both"/>
      </w:pPr>
      <w:r>
        <w:t>7</w:t>
      </w:r>
      <w:r w:rsidR="008573F8">
        <w:t xml:space="preserve">. </w:t>
      </w:r>
      <w:r w:rsidR="00B85726">
        <w:t>Az SKV jelentések az előbbi változatok közül egyikről sem állapítják meg azt, hogy környezeti-, illetve környezeti-fenntarthatósági szempontból biztos, hogy nem szabad megvalósítani. Felhívják a figyelmet arra, hogy a tervezett beavatkozásoknak kedvezőtlen környezeti, illetve ökológiai hatásai lehetnek</w:t>
      </w:r>
      <w:r w:rsidR="007339EC">
        <w:t>,</w:t>
      </w:r>
      <w:r w:rsidR="00B85726">
        <w:t xml:space="preserve"> és hogy </w:t>
      </w:r>
      <w:r w:rsidR="006D264A" w:rsidRPr="00CC3482">
        <w:t xml:space="preserve">az SKV </w:t>
      </w:r>
      <w:r w:rsidR="006D264A">
        <w:t xml:space="preserve">ajánlásainak </w:t>
      </w:r>
      <w:r w:rsidR="006D264A" w:rsidRPr="00CC3482">
        <w:t>figyelembevételével készített részletes tervek alapján, az SKV ajánlásai szerint végzett VKI 4.7 tesztek</w:t>
      </w:r>
      <w:r w:rsidR="006D264A">
        <w:t xml:space="preserve"> és</w:t>
      </w:r>
      <w:r w:rsidR="006D264A" w:rsidRPr="00CC3482">
        <w:t xml:space="preserve"> </w:t>
      </w:r>
      <w:r w:rsidR="006D264A" w:rsidRPr="007F71C1">
        <w:t>Élőhely tesztek elvégzésével</w:t>
      </w:r>
      <w:r w:rsidR="007F71C1" w:rsidRPr="00CC60C5">
        <w:t>, a Natura hatásbecslés és a környezeti hatásvizsgálat eredménye</w:t>
      </w:r>
      <w:r w:rsidR="007F71C1">
        <w:t xml:space="preserve"> alapján</w:t>
      </w:r>
      <w:r w:rsidR="005F12E9" w:rsidRPr="00182CC1">
        <w:t xml:space="preserve"> </w:t>
      </w:r>
      <w:r w:rsidR="00B85726">
        <w:t>kell majd eldönteni azt, hogy melyik változatot szabad/lehet megvalósítani. Az OKT egyetért az SKV jelentéseknek az erre vonatkozó megállapításaival.</w:t>
      </w:r>
    </w:p>
    <w:p w:rsidR="00B85726" w:rsidRDefault="00B85726" w:rsidP="002412CF">
      <w:pPr>
        <w:jc w:val="both"/>
      </w:pPr>
    </w:p>
    <w:p w:rsidR="00640871" w:rsidRDefault="00A73D60" w:rsidP="002412CF">
      <w:pPr>
        <w:jc w:val="both"/>
      </w:pPr>
      <w:smartTag w:uri="urn:schemas-microsoft-com:office:smarttags" w:element="metricconverter">
        <w:smartTagPr>
          <w:attr w:name="ProductID" w:val="8. A"/>
        </w:smartTagPr>
        <w:r>
          <w:t>8</w:t>
        </w:r>
        <w:r w:rsidR="008573F8">
          <w:t xml:space="preserve">. </w:t>
        </w:r>
        <w:r w:rsidR="00640871">
          <w:t>A</w:t>
        </w:r>
      </w:smartTag>
      <w:r w:rsidR="00640871">
        <w:t xml:space="preserve"> Szob feletti és a Szob alatti hazai Duna szakaszra készített terv is foglalkozott olyan beavatkozási változat</w:t>
      </w:r>
      <w:r w:rsidR="00CC60C5">
        <w:t>t</w:t>
      </w:r>
      <w:r w:rsidR="00640871">
        <w:t xml:space="preserve">al, amely a </w:t>
      </w:r>
      <w:r w:rsidR="00AB76DF">
        <w:t xml:space="preserve">folyó és környezete élővilágának </w:t>
      </w:r>
      <w:r w:rsidR="00640871">
        <w:t>állapotára</w:t>
      </w:r>
      <w:r w:rsidR="00AB76DF">
        <w:t xml:space="preserve"> és a folyóparti vízbázisokra </w:t>
      </w:r>
      <w:r w:rsidR="00CC60C5">
        <w:t xml:space="preserve">várhatóan </w:t>
      </w:r>
      <w:r w:rsidR="00832361">
        <w:t>a</w:t>
      </w:r>
      <w:r w:rsidR="00AB76DF">
        <w:t xml:space="preserve"> legkisebb hatást gyakorolj</w:t>
      </w:r>
      <w:r w:rsidR="00CC60C5">
        <w:t>a</w:t>
      </w:r>
      <w:r w:rsidR="007339EC">
        <w:t>,</w:t>
      </w:r>
      <w:r w:rsidR="00AB76DF">
        <w:t xml:space="preserve"> és a vonatkozó SKV-k kiemelik ezeknek a változatoknak a magas prioritású változatként való kezelésének fontosságát.</w:t>
      </w:r>
    </w:p>
    <w:p w:rsidR="00640871" w:rsidRDefault="00640871" w:rsidP="002412CF">
      <w:pPr>
        <w:jc w:val="both"/>
      </w:pPr>
    </w:p>
    <w:p w:rsidR="00782482" w:rsidRDefault="00A73D60" w:rsidP="002412CF">
      <w:pPr>
        <w:jc w:val="both"/>
        <w:rPr>
          <w:rFonts w:cs="Arial"/>
          <w:szCs w:val="21"/>
        </w:rPr>
      </w:pPr>
      <w:r>
        <w:t>9</w:t>
      </w:r>
      <w:r w:rsidR="008573F8">
        <w:t xml:space="preserve">. </w:t>
      </w:r>
      <w:r w:rsidR="00782482" w:rsidRPr="001D1FDE">
        <w:t>Az európai belvízi hajózás és a vízi-környezetvédelem képviselői hosszú viták után egyeztek meg arról, hogyan kell összehangolni fenntartható módon a hajózási és környezet- illetve természetvédelmi érdekeket. Az összehangolás alapelveit a Közös Nyilatkozatban fogalmazták meg (</w:t>
      </w:r>
      <w:r w:rsidR="00782482" w:rsidRPr="004C1010">
        <w:t>ICPDR, Danube Commission, International Sava River Basin Commission (2007) Joint Statement on Inland Navigation and Environmental Sustainability in the Danube River Basin</w:t>
      </w:r>
      <w:r w:rsidR="00782482">
        <w:t xml:space="preserve">). A Közös Nyilatkozat irányelveket ad ahhoz is, hogyan kell összehangolni az EU közlekedési- és vízi-környezetvédelmi politikáját. Jelenleg nagy intenzitással folyik a Közös Nyilatkozatban megfogalmazott alapelvek érvényesítése. </w:t>
      </w:r>
      <w:r w:rsidR="00782482" w:rsidRPr="00E36FC9">
        <w:rPr>
          <w:rFonts w:cs="Arial"/>
          <w:szCs w:val="21"/>
        </w:rPr>
        <w:t>A Közös</w:t>
      </w:r>
      <w:r w:rsidR="00782482">
        <w:rPr>
          <w:rFonts w:cs="Arial"/>
          <w:szCs w:val="21"/>
        </w:rPr>
        <w:t xml:space="preserve"> </w:t>
      </w:r>
      <w:r w:rsidR="00782482" w:rsidRPr="00E36FC9">
        <w:rPr>
          <w:rFonts w:cs="Arial"/>
          <w:szCs w:val="21"/>
        </w:rPr>
        <w:t>Nyilatkozat ajánlásokat tartalmaz a belvízi hajózás feltételeinek a környezeti</w:t>
      </w:r>
      <w:r w:rsidR="00782482">
        <w:rPr>
          <w:rFonts w:cs="Arial"/>
          <w:szCs w:val="21"/>
        </w:rPr>
        <w:t xml:space="preserve"> </w:t>
      </w:r>
      <w:r w:rsidR="00782482" w:rsidRPr="00E36FC9">
        <w:rPr>
          <w:rFonts w:cs="Arial"/>
          <w:szCs w:val="21"/>
        </w:rPr>
        <w:t>fenntarthatóság szempontjainak megfelel</w:t>
      </w:r>
      <w:r w:rsidR="00782482">
        <w:rPr>
          <w:rFonts w:cs="Arial"/>
          <w:szCs w:val="21"/>
        </w:rPr>
        <w:t>ő</w:t>
      </w:r>
      <w:r w:rsidR="00782482" w:rsidRPr="00E36FC9">
        <w:rPr>
          <w:rFonts w:cs="Arial"/>
          <w:szCs w:val="21"/>
        </w:rPr>
        <w:t xml:space="preserve"> javításához. Az ajánlások az integrált tervezés</w:t>
      </w:r>
      <w:r w:rsidR="00782482">
        <w:rPr>
          <w:rFonts w:cs="Arial"/>
          <w:szCs w:val="21"/>
        </w:rPr>
        <w:t xml:space="preserve"> </w:t>
      </w:r>
      <w:r w:rsidR="00782482" w:rsidRPr="00E36FC9">
        <w:rPr>
          <w:rFonts w:cs="Arial"/>
          <w:szCs w:val="21"/>
        </w:rPr>
        <w:t>alapelveire és a folyómérnöki szempontokra vonatkoznak</w:t>
      </w:r>
      <w:r w:rsidR="00782482">
        <w:rPr>
          <w:rFonts w:cs="Arial"/>
          <w:szCs w:val="21"/>
        </w:rPr>
        <w:t xml:space="preserve">. A Szob feletti szakaszra vonatkozó SKV érdemei közé sorolható az, hogy megvizsgálták, hogy </w:t>
      </w:r>
      <w:r w:rsidR="00750E7F">
        <w:rPr>
          <w:rFonts w:cs="Arial"/>
          <w:szCs w:val="21"/>
        </w:rPr>
        <w:t xml:space="preserve">a tervezők </w:t>
      </w:r>
      <w:r w:rsidR="00782482">
        <w:rPr>
          <w:rFonts w:cs="Arial"/>
          <w:szCs w:val="21"/>
        </w:rPr>
        <w:t>ezen a szakaszon érvényesítették-e a Közös Nyilatkozat ajánlásait.</w:t>
      </w:r>
    </w:p>
    <w:p w:rsidR="00A71068" w:rsidRDefault="00A71068" w:rsidP="002412CF">
      <w:pPr>
        <w:jc w:val="both"/>
      </w:pPr>
    </w:p>
    <w:p w:rsidR="00640871" w:rsidRDefault="00750E7F" w:rsidP="002412CF">
      <w:pPr>
        <w:jc w:val="both"/>
      </w:pPr>
      <w:r>
        <w:t>1</w:t>
      </w:r>
      <w:r w:rsidR="00A73D60">
        <w:t>0</w:t>
      </w:r>
      <w:r>
        <w:t xml:space="preserve">. </w:t>
      </w:r>
      <w:r w:rsidR="00AB76DF">
        <w:t>Az OKT fontosnak tartja a végzett SKV-k eredményeit, ugyanakkor felhívja a figyelmet arra, hogy a megvalósításra javasolt beavatkozásokat a</w:t>
      </w:r>
      <w:r w:rsidR="000C6F2D">
        <w:t>z SKV, a</w:t>
      </w:r>
      <w:r w:rsidR="00AB76DF">
        <w:t xml:space="preserve"> VKI 4.7 teszt és az </w:t>
      </w:r>
      <w:r w:rsidR="00AB76DF" w:rsidRPr="007F71C1">
        <w:t>Élőhely tesztek</w:t>
      </w:r>
      <w:r w:rsidR="00AB76DF">
        <w:t xml:space="preserve"> alapján </w:t>
      </w:r>
      <w:r w:rsidR="000C6F2D">
        <w:t>végzett</w:t>
      </w:r>
      <w:r w:rsidR="007F71C1">
        <w:t xml:space="preserve">, </w:t>
      </w:r>
      <w:r w:rsidR="007F71C1" w:rsidRPr="00CC60C5">
        <w:t>Natura hatásbecsléssel és</w:t>
      </w:r>
      <w:r w:rsidR="000C6F2D" w:rsidRPr="00CC60C5">
        <w:t xml:space="preserve"> </w:t>
      </w:r>
      <w:r w:rsidR="007F71C1" w:rsidRPr="00CC60C5">
        <w:t>k</w:t>
      </w:r>
      <w:r w:rsidR="000C6F2D">
        <w:t xml:space="preserve">örnyezeti </w:t>
      </w:r>
      <w:r w:rsidR="007F71C1" w:rsidRPr="00CC60C5">
        <w:t>h</w:t>
      </w:r>
      <w:r w:rsidR="000C6F2D">
        <w:t>atásvizsgálattal lehet majd</w:t>
      </w:r>
      <w:r w:rsidR="00AB76DF">
        <w:t xml:space="preserve"> kiválasztani</w:t>
      </w:r>
      <w:r>
        <w:t>, ahogyan erre a tervek utalnak is</w:t>
      </w:r>
      <w:r w:rsidR="000C6F2D">
        <w:t>,</w:t>
      </w:r>
      <w:r>
        <w:t xml:space="preserve"> és a Szob alatti szakaszra vonatkozó SKV a vizsgálat egyes elemeit is említi. </w:t>
      </w:r>
      <w:r w:rsidR="00640871">
        <w:t xml:space="preserve"> </w:t>
      </w:r>
    </w:p>
    <w:p w:rsidR="00AB76DF" w:rsidRDefault="00AB76DF" w:rsidP="002412CF">
      <w:pPr>
        <w:jc w:val="both"/>
      </w:pPr>
    </w:p>
    <w:p w:rsidR="00A71068" w:rsidRDefault="00750E7F" w:rsidP="002412CF">
      <w:pPr>
        <w:jc w:val="both"/>
      </w:pPr>
      <w:r>
        <w:t>1</w:t>
      </w:r>
      <w:r w:rsidR="00A73D60">
        <w:t>1</w:t>
      </w:r>
      <w:r>
        <w:t xml:space="preserve">. Az OKT </w:t>
      </w:r>
      <w:r w:rsidR="00A71068" w:rsidRPr="0015390C">
        <w:t>felhív</w:t>
      </w:r>
      <w:r>
        <w:t>j</w:t>
      </w:r>
      <w:r w:rsidR="00A71068" w:rsidRPr="0015390C">
        <w:t xml:space="preserve">a a figyelmet arra, hogy </w:t>
      </w:r>
      <w:r w:rsidR="00A71068" w:rsidRPr="009542CE">
        <w:t>a</w:t>
      </w:r>
      <w:r>
        <w:t>z Európai</w:t>
      </w:r>
      <w:r w:rsidR="00A71068" w:rsidRPr="009542CE">
        <w:t xml:space="preserve"> Bizottság </w:t>
      </w:r>
      <w:r>
        <w:t xml:space="preserve">több erre vonatkozó nyilatkozata szerint </w:t>
      </w:r>
      <w:r w:rsidR="00A71068" w:rsidRPr="009542CE">
        <w:t>ellenőrizni fogja, hogy az új infrastrukturális beavatkozások megfelelnek-e a vízgyűjtő-gazdálkodási terveknek és a VKI 4. cikk 7. bekezdése előírásainak</w:t>
      </w:r>
      <w:r w:rsidR="00A71068" w:rsidRPr="005A0F52">
        <w:t xml:space="preserve">. </w:t>
      </w:r>
      <w:r>
        <w:t>Az OKT r</w:t>
      </w:r>
      <w:r w:rsidR="00A71068" w:rsidRPr="005A0F52">
        <w:t>ámutat</w:t>
      </w:r>
      <w:r w:rsidR="00A71068" w:rsidRPr="0015390C">
        <w:t xml:space="preserve"> arra is, hogy az Élőhely</w:t>
      </w:r>
      <w:r w:rsidR="00832361" w:rsidRPr="00CC60C5">
        <w:t>védelmi</w:t>
      </w:r>
      <w:r w:rsidR="00A71068" w:rsidRPr="0015390C">
        <w:t xml:space="preserve"> Irányelv 6. cikkének 3. és 4. bekezdése szerinti vizsgálatot is el kell végezni.</w:t>
      </w:r>
      <w:r w:rsidR="00A71068">
        <w:t xml:space="preserve"> Felhív</w:t>
      </w:r>
      <w:r>
        <w:t>j</w:t>
      </w:r>
      <w:r w:rsidR="00A71068">
        <w:t>a a figyelmet arra, hogy a</w:t>
      </w:r>
      <w:r w:rsidR="00A71068" w:rsidRPr="00DF1E89">
        <w:t xml:space="preserve"> Víz Keretirányelv 4. cikkének 7. bekezdése szigorú feltételeket szab meg arra vonatkozóan, hogy mikor lehet egy új, fenntartható vízgazdálkodást biztosító beruházást megvalósítani. Bizonyítani kell a következőket:</w:t>
      </w:r>
    </w:p>
    <w:p w:rsidR="00783288" w:rsidRPr="00A00D8B" w:rsidRDefault="000C2AD4" w:rsidP="001E2F91">
      <w:pPr>
        <w:numPr>
          <w:ilvl w:val="0"/>
          <w:numId w:val="5"/>
        </w:numPr>
        <w:autoSpaceDE w:val="0"/>
        <w:autoSpaceDN w:val="0"/>
        <w:adjustRightInd w:val="0"/>
        <w:rPr>
          <w:rFonts w:eastAsia="TimesNewRoman" w:cs="TimesNewRoman"/>
        </w:rPr>
      </w:pPr>
      <w:r>
        <w:rPr>
          <w:rFonts w:eastAsia="TimesNewRoman" w:cs="TimesNewRoman"/>
        </w:rPr>
        <w:t>„</w:t>
      </w:r>
      <w:r w:rsidR="00783288" w:rsidRPr="00A00D8B">
        <w:rPr>
          <w:rFonts w:eastAsia="TimesNewRoman" w:cs="TimesNewRoman"/>
        </w:rPr>
        <w:t>a) minden lehets</w:t>
      </w:r>
      <w:r w:rsidR="00783288" w:rsidRPr="00A00D8B">
        <w:rPr>
          <w:rFonts w:eastAsia="TimesNewRoman" w:cs="TimesNewRoman" w:hint="eastAsia"/>
        </w:rPr>
        <w:t>é</w:t>
      </w:r>
      <w:r w:rsidR="00783288" w:rsidRPr="00A00D8B">
        <w:rPr>
          <w:rFonts w:eastAsia="TimesNewRoman" w:cs="TimesNewRoman"/>
        </w:rPr>
        <w:t>ges l</w:t>
      </w:r>
      <w:r w:rsidR="00783288" w:rsidRPr="00A00D8B">
        <w:rPr>
          <w:rFonts w:eastAsia="TimesNewRoman" w:cs="TimesNewRoman" w:hint="eastAsia"/>
        </w:rPr>
        <w:t>é</w:t>
      </w:r>
      <w:r w:rsidR="00783288" w:rsidRPr="00A00D8B">
        <w:rPr>
          <w:rFonts w:eastAsia="TimesNewRoman" w:cs="TimesNewRoman"/>
        </w:rPr>
        <w:t>p</w:t>
      </w:r>
      <w:r w:rsidR="00783288" w:rsidRPr="00A00D8B">
        <w:rPr>
          <w:rFonts w:eastAsia="TimesNewRoman" w:cs="TimesNewRoman" w:hint="eastAsia"/>
        </w:rPr>
        <w:t>é</w:t>
      </w:r>
      <w:r w:rsidR="00783288" w:rsidRPr="00A00D8B">
        <w:rPr>
          <w:rFonts w:eastAsia="TimesNewRoman" w:cs="TimesNewRoman"/>
        </w:rPr>
        <w:t>st megtesznek a v</w:t>
      </w:r>
      <w:r w:rsidR="00783288" w:rsidRPr="00A00D8B">
        <w:rPr>
          <w:rFonts w:eastAsia="TimesNewRoman" w:cs="TimesNewRoman" w:hint="eastAsia"/>
        </w:rPr>
        <w:t>í</w:t>
      </w:r>
      <w:r w:rsidR="00783288" w:rsidRPr="00A00D8B">
        <w:rPr>
          <w:rFonts w:eastAsia="TimesNewRoman" w:cs="TimesNewRoman"/>
        </w:rPr>
        <w:t xml:space="preserve">ztest </w:t>
      </w:r>
      <w:r w:rsidR="00783288" w:rsidRPr="00A00D8B">
        <w:rPr>
          <w:rFonts w:eastAsia="TimesNewRoman" w:cs="TimesNewRoman" w:hint="eastAsia"/>
        </w:rPr>
        <w:t>á</w:t>
      </w:r>
      <w:r w:rsidR="00783288" w:rsidRPr="00A00D8B">
        <w:rPr>
          <w:rFonts w:eastAsia="TimesNewRoman" w:cs="TimesNewRoman"/>
        </w:rPr>
        <w:t>llapot</w:t>
      </w:r>
      <w:r w:rsidR="00783288" w:rsidRPr="00A00D8B">
        <w:rPr>
          <w:rFonts w:eastAsia="TimesNewRoman" w:cs="TimesNewRoman" w:hint="eastAsia"/>
        </w:rPr>
        <w:t>á</w:t>
      </w:r>
      <w:r w:rsidR="00783288" w:rsidRPr="00A00D8B">
        <w:rPr>
          <w:rFonts w:eastAsia="TimesNewRoman" w:cs="TimesNewRoman"/>
        </w:rPr>
        <w:t xml:space="preserve">ra gyakorolt </w:t>
      </w:r>
      <w:r w:rsidR="00783288" w:rsidRPr="00A00D8B">
        <w:rPr>
          <w:rFonts w:eastAsia="TimesNewRoman" w:cs="TimesNewRoman" w:hint="eastAsia"/>
        </w:rPr>
        <w:t>á</w:t>
      </w:r>
      <w:r w:rsidR="00783288" w:rsidRPr="00A00D8B">
        <w:rPr>
          <w:rFonts w:eastAsia="TimesNewRoman" w:cs="TimesNewRoman"/>
        </w:rPr>
        <w:t>rtalmas hat</w:t>
      </w:r>
      <w:r w:rsidR="00783288" w:rsidRPr="00A00D8B">
        <w:rPr>
          <w:rFonts w:eastAsia="TimesNewRoman" w:cs="TimesNewRoman" w:hint="eastAsia"/>
        </w:rPr>
        <w:t>á</w:t>
      </w:r>
      <w:r w:rsidR="00783288" w:rsidRPr="00A00D8B">
        <w:rPr>
          <w:rFonts w:eastAsia="TimesNewRoman" w:cs="TimesNewRoman"/>
        </w:rPr>
        <w:t>s</w:t>
      </w:r>
      <w:r w:rsidR="00783288">
        <w:rPr>
          <w:rFonts w:eastAsia="TimesNewRoman" w:cs="TimesNewRoman"/>
        </w:rPr>
        <w:t xml:space="preserve"> </w:t>
      </w:r>
      <w:r w:rsidR="00783288" w:rsidRPr="00A00D8B">
        <w:rPr>
          <w:rFonts w:eastAsia="TimesNewRoman" w:cs="TimesNewRoman"/>
        </w:rPr>
        <w:t>m</w:t>
      </w:r>
      <w:r w:rsidR="00783288" w:rsidRPr="00A00D8B">
        <w:rPr>
          <w:rFonts w:eastAsia="TimesNewRoman" w:cs="TimesNewRoman" w:hint="eastAsia"/>
        </w:rPr>
        <w:t>é</w:t>
      </w:r>
      <w:r w:rsidR="00783288" w:rsidRPr="00A00D8B">
        <w:rPr>
          <w:rFonts w:eastAsia="TimesNewRoman" w:cs="TimesNewRoman"/>
        </w:rPr>
        <w:t>rs</w:t>
      </w:r>
      <w:r w:rsidR="00783288" w:rsidRPr="00A00D8B">
        <w:rPr>
          <w:rFonts w:eastAsia="TimesNewRoman" w:cs="TimesNewRoman" w:hint="eastAsia"/>
        </w:rPr>
        <w:t>é</w:t>
      </w:r>
      <w:r w:rsidR="00783288" w:rsidRPr="00A00D8B">
        <w:rPr>
          <w:rFonts w:eastAsia="TimesNewRoman" w:cs="TimesNewRoman"/>
        </w:rPr>
        <w:t>kl</w:t>
      </w:r>
      <w:r w:rsidR="00783288" w:rsidRPr="00A00D8B">
        <w:rPr>
          <w:rFonts w:eastAsia="TimesNewRoman" w:cs="TimesNewRoman" w:hint="eastAsia"/>
        </w:rPr>
        <w:t>é</w:t>
      </w:r>
      <w:r w:rsidR="00783288" w:rsidRPr="00A00D8B">
        <w:rPr>
          <w:rFonts w:eastAsia="TimesNewRoman" w:cs="TimesNewRoman"/>
        </w:rPr>
        <w:t>s</w:t>
      </w:r>
      <w:r w:rsidR="00783288" w:rsidRPr="00A00D8B">
        <w:rPr>
          <w:rFonts w:eastAsia="TimesNewRoman" w:cs="TimesNewRoman" w:hint="eastAsia"/>
        </w:rPr>
        <w:t>é</w:t>
      </w:r>
      <w:r w:rsidR="00783288" w:rsidRPr="00A00D8B">
        <w:rPr>
          <w:rFonts w:eastAsia="TimesNewRoman" w:cs="TimesNewRoman"/>
        </w:rPr>
        <w:t>re;</w:t>
      </w:r>
    </w:p>
    <w:p w:rsidR="00783288" w:rsidRPr="00A00D8B" w:rsidRDefault="00783288" w:rsidP="001E2F91">
      <w:pPr>
        <w:numPr>
          <w:ilvl w:val="0"/>
          <w:numId w:val="5"/>
        </w:numPr>
        <w:autoSpaceDE w:val="0"/>
        <w:autoSpaceDN w:val="0"/>
        <w:adjustRightInd w:val="0"/>
        <w:rPr>
          <w:rFonts w:eastAsia="TimesNewRoman" w:cs="TimesNewRoman"/>
        </w:rPr>
      </w:pPr>
      <w:r w:rsidRPr="00A00D8B">
        <w:rPr>
          <w:rFonts w:eastAsia="TimesNewRoman" w:cs="TimesNewRoman"/>
        </w:rPr>
        <w:t xml:space="preserve">b) </w:t>
      </w:r>
      <w:r w:rsidR="007339EC">
        <w:rPr>
          <w:rFonts w:eastAsia="TimesNewRoman" w:cs="TimesNewRoman"/>
        </w:rPr>
        <w:t>a</w:t>
      </w:r>
      <w:r w:rsidRPr="00A00D8B">
        <w:rPr>
          <w:rFonts w:eastAsia="TimesNewRoman" w:cs="TimesNewRoman"/>
        </w:rPr>
        <w:t xml:space="preserve"> v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ltoztat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 xml:space="preserve">sok okait a </w:t>
      </w:r>
      <w:r>
        <w:rPr>
          <w:rFonts w:eastAsia="TimesNewRoman" w:cs="TimesNewRoman"/>
        </w:rPr>
        <w:t>..</w:t>
      </w:r>
      <w:r w:rsidRPr="00A00D8B">
        <w:rPr>
          <w:rFonts w:eastAsia="TimesNewRoman" w:cs="TimesNewRoman"/>
        </w:rPr>
        <w:t xml:space="preserve"> v</w:t>
      </w:r>
      <w:r w:rsidRPr="00A00D8B">
        <w:rPr>
          <w:rFonts w:eastAsia="TimesNewRoman" w:cs="TimesNewRoman" w:hint="eastAsia"/>
        </w:rPr>
        <w:t>í</w:t>
      </w:r>
      <w:r w:rsidRPr="00A00D8B">
        <w:rPr>
          <w:rFonts w:eastAsia="TimesNewRoman" w:cs="TimesNewRoman"/>
        </w:rPr>
        <w:t>zgy</w:t>
      </w:r>
      <w:r w:rsidRPr="00A00D8B">
        <w:rPr>
          <w:rFonts w:eastAsia="TimesNewRoman+1" w:cs="TimesNewRoman+1" w:hint="eastAsia"/>
        </w:rPr>
        <w:t>ű</w:t>
      </w:r>
      <w:r w:rsidRPr="00A00D8B">
        <w:rPr>
          <w:rFonts w:eastAsia="TimesNewRoman" w:cs="TimesNewRoman"/>
        </w:rPr>
        <w:t>jt</w:t>
      </w:r>
      <w:r w:rsidRPr="00A00D8B">
        <w:rPr>
          <w:rFonts w:eastAsia="TimesNewRoman+1" w:cs="TimesNewRoman+1" w:hint="eastAsia"/>
        </w:rPr>
        <w:t>ő</w:t>
      </w:r>
      <w:r w:rsidRPr="00A00D8B">
        <w:rPr>
          <w:rFonts w:eastAsia="TimesNewRoman" w:cs="TimesNewRoman"/>
        </w:rPr>
        <w:t>-gazd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lkod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si terv r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szletesen</w:t>
      </w:r>
      <w:r>
        <w:rPr>
          <w:rFonts w:eastAsia="TimesNewRoman" w:cs="TimesNewRoman"/>
        </w:rPr>
        <w:t xml:space="preserve"> </w:t>
      </w:r>
      <w:r w:rsidRPr="00A00D8B">
        <w:rPr>
          <w:rFonts w:eastAsia="TimesNewRoman" w:cs="TimesNewRoman"/>
        </w:rPr>
        <w:t xml:space="preserve">tartalmazza, 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 a c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lkit</w:t>
      </w:r>
      <w:r w:rsidRPr="00A00D8B">
        <w:rPr>
          <w:rFonts w:eastAsia="TimesNewRoman+1" w:cs="TimesNewRoman+1" w:hint="eastAsia"/>
        </w:rPr>
        <w:t>ű</w:t>
      </w:r>
      <w:r w:rsidRPr="00A00D8B">
        <w:rPr>
          <w:rFonts w:eastAsia="TimesNewRoman" w:cs="TimesNewRoman"/>
        </w:rPr>
        <w:t>z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seket hat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vente fel</w:t>
      </w:r>
      <w:r w:rsidRPr="00A00D8B">
        <w:rPr>
          <w:rFonts w:eastAsia="TimesNewRoman" w:cs="TimesNewRoman" w:hint="eastAsia"/>
        </w:rPr>
        <w:t>ü</w:t>
      </w:r>
      <w:r w:rsidRPr="00A00D8B">
        <w:rPr>
          <w:rFonts w:eastAsia="TimesNewRoman" w:cs="TimesNewRoman"/>
        </w:rPr>
        <w:t>lvizsg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lj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k;</w:t>
      </w:r>
    </w:p>
    <w:p w:rsidR="00783288" w:rsidRPr="00A00D8B" w:rsidRDefault="00783288" w:rsidP="001E2F91">
      <w:pPr>
        <w:numPr>
          <w:ilvl w:val="0"/>
          <w:numId w:val="5"/>
        </w:numPr>
        <w:autoSpaceDE w:val="0"/>
        <w:autoSpaceDN w:val="0"/>
        <w:adjustRightInd w:val="0"/>
        <w:rPr>
          <w:rFonts w:eastAsia="TimesNewRoman" w:cs="TimesNewRoman"/>
        </w:rPr>
      </w:pPr>
      <w:r w:rsidRPr="00A00D8B">
        <w:rPr>
          <w:rFonts w:eastAsia="TimesNewRoman" w:cs="TimesNewRoman"/>
        </w:rPr>
        <w:t xml:space="preserve">c) </w:t>
      </w:r>
      <w:r w:rsidR="007339EC">
        <w:rPr>
          <w:rFonts w:eastAsia="TimesNewRoman" w:cs="TimesNewRoman"/>
        </w:rPr>
        <w:t>a</w:t>
      </w:r>
      <w:r w:rsidRPr="00A00D8B">
        <w:rPr>
          <w:rFonts w:eastAsia="TimesNewRoman" w:cs="TimesNewRoman"/>
        </w:rPr>
        <w:t xml:space="preserve"> v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ltoztat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sok vagy m</w:t>
      </w:r>
      <w:r w:rsidRPr="00A00D8B">
        <w:rPr>
          <w:rFonts w:eastAsia="TimesNewRoman" w:cs="TimesNewRoman" w:hint="eastAsia"/>
        </w:rPr>
        <w:t>ó</w:t>
      </w:r>
      <w:r w:rsidRPr="00A00D8B">
        <w:rPr>
          <w:rFonts w:eastAsia="TimesNewRoman" w:cs="TimesNewRoman"/>
        </w:rPr>
        <w:t>dos</w:t>
      </w:r>
      <w:r w:rsidRPr="00A00D8B">
        <w:rPr>
          <w:rFonts w:eastAsia="TimesNewRoman" w:cs="TimesNewRoman" w:hint="eastAsia"/>
        </w:rPr>
        <w:t>í</w:t>
      </w:r>
      <w:r w:rsidRPr="00A00D8B">
        <w:rPr>
          <w:rFonts w:eastAsia="TimesNewRoman" w:cs="TimesNewRoman"/>
        </w:rPr>
        <w:t>t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sok oka els</w:t>
      </w:r>
      <w:r w:rsidRPr="00A00D8B">
        <w:rPr>
          <w:rFonts w:eastAsia="TimesNewRoman+1" w:cs="TimesNewRoman+1" w:hint="eastAsia"/>
        </w:rPr>
        <w:t>ő</w:t>
      </w:r>
      <w:r w:rsidRPr="00A00D8B">
        <w:rPr>
          <w:rFonts w:eastAsia="TimesNewRoman" w:cs="TimesNewRoman"/>
        </w:rPr>
        <w:t>rend</w:t>
      </w:r>
      <w:r w:rsidRPr="00A00D8B">
        <w:rPr>
          <w:rFonts w:eastAsia="TimesNewRoman+1" w:cs="TimesNewRoman+1" w:hint="eastAsia"/>
        </w:rPr>
        <w:t>ű</w:t>
      </w:r>
      <w:r w:rsidRPr="00A00D8B">
        <w:rPr>
          <w:rFonts w:eastAsia="TimesNewRoman+1" w:cs="TimesNewRoman+1"/>
        </w:rPr>
        <w:t xml:space="preserve"> </w:t>
      </w:r>
      <w:r w:rsidRPr="00A00D8B">
        <w:rPr>
          <w:rFonts w:eastAsia="TimesNewRoman" w:cs="TimesNewRoman"/>
        </w:rPr>
        <w:t>k</w:t>
      </w:r>
      <w:r w:rsidRPr="00A00D8B">
        <w:rPr>
          <w:rFonts w:eastAsia="TimesNewRoman" w:cs="TimesNewRoman" w:hint="eastAsia"/>
        </w:rPr>
        <w:t>ö</w:t>
      </w:r>
      <w:r w:rsidRPr="00A00D8B">
        <w:rPr>
          <w:rFonts w:eastAsia="TimesNewRoman" w:cs="TimesNewRoman"/>
        </w:rPr>
        <w:t>z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 xml:space="preserve">rdek 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s/vagy ha a hasznokat,</w:t>
      </w:r>
      <w:r>
        <w:rPr>
          <w:rFonts w:eastAsia="TimesNewRoman" w:cs="TimesNewRoman"/>
        </w:rPr>
        <w:t xml:space="preserve"> </w:t>
      </w:r>
      <w:r w:rsidRPr="00A00D8B">
        <w:rPr>
          <w:rFonts w:eastAsia="TimesNewRoman" w:cs="TimesNewRoman"/>
        </w:rPr>
        <w:t>amelyek a k</w:t>
      </w:r>
      <w:r w:rsidRPr="00A00D8B">
        <w:rPr>
          <w:rFonts w:eastAsia="TimesNewRoman" w:cs="TimesNewRoman" w:hint="eastAsia"/>
        </w:rPr>
        <w:t>ö</w:t>
      </w:r>
      <w:r w:rsidRPr="00A00D8B">
        <w:rPr>
          <w:rFonts w:eastAsia="TimesNewRoman" w:cs="TimesNewRoman"/>
        </w:rPr>
        <w:t xml:space="preserve">rnyezet 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 a t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rsadalom sz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m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ra az (1) bekezd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sben meghat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rozott</w:t>
      </w:r>
      <w:r>
        <w:rPr>
          <w:rFonts w:eastAsia="TimesNewRoman" w:cs="TimesNewRoman"/>
        </w:rPr>
        <w:t xml:space="preserve"> </w:t>
      </w:r>
      <w:r w:rsidRPr="00A00D8B">
        <w:rPr>
          <w:rFonts w:eastAsia="TimesNewRoman" w:cs="TimesNewRoman"/>
        </w:rPr>
        <w:t>c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lokb</w:t>
      </w:r>
      <w:r w:rsidRPr="00A00D8B">
        <w:rPr>
          <w:rFonts w:eastAsia="TimesNewRoman" w:cs="TimesNewRoman" w:hint="eastAsia"/>
        </w:rPr>
        <w:t>ó</w:t>
      </w:r>
      <w:r w:rsidRPr="00A00D8B">
        <w:rPr>
          <w:rFonts w:eastAsia="TimesNewRoman" w:cs="TimesNewRoman"/>
        </w:rPr>
        <w:t>l fakadnak</w:t>
      </w:r>
      <w:r w:rsidR="00E9147F">
        <w:rPr>
          <w:rFonts w:eastAsia="TimesNewRoman" w:cs="TimesNewRoman"/>
        </w:rPr>
        <w:t xml:space="preserve"> (</w:t>
      </w:r>
      <w:r w:rsidR="00E9147F" w:rsidRPr="00E9147F">
        <w:rPr>
          <w:rFonts w:eastAsia="TimesNewRoman" w:cs="TimesNewRoman"/>
          <w:i/>
        </w:rPr>
        <w:t>a Víz Keretirányelv Környezeti Célkitűzések című 4. cikkének első bekezdésére utal a hivatkozás</w:t>
      </w:r>
      <w:r w:rsidR="00E9147F">
        <w:rPr>
          <w:rFonts w:eastAsia="TimesNewRoman" w:cs="TimesNewRoman"/>
        </w:rPr>
        <w:t>)</w:t>
      </w:r>
      <w:r w:rsidRPr="00A00D8B">
        <w:rPr>
          <w:rFonts w:eastAsia="TimesNewRoman" w:cs="TimesNewRoman"/>
        </w:rPr>
        <w:t>, fel</w:t>
      </w:r>
      <w:r w:rsidRPr="00A00D8B">
        <w:rPr>
          <w:rFonts w:eastAsia="TimesNewRoman" w:cs="TimesNewRoman" w:hint="eastAsia"/>
        </w:rPr>
        <w:t>ü</w:t>
      </w:r>
      <w:r w:rsidRPr="00A00D8B">
        <w:rPr>
          <w:rFonts w:eastAsia="TimesNewRoman" w:cs="TimesNewRoman"/>
        </w:rPr>
        <w:t>lm</w:t>
      </w:r>
      <w:r w:rsidRPr="00A00D8B">
        <w:rPr>
          <w:rFonts w:eastAsia="TimesNewRoman" w:cs="TimesNewRoman" w:hint="eastAsia"/>
        </w:rPr>
        <w:t>ú</w:t>
      </w:r>
      <w:r w:rsidRPr="00A00D8B">
        <w:rPr>
          <w:rFonts w:eastAsia="TimesNewRoman" w:cs="TimesNewRoman"/>
        </w:rPr>
        <w:t>lj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k e v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ltoz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sok hasznai az emberi eg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szs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g, az emberi</w:t>
      </w:r>
      <w:r>
        <w:rPr>
          <w:rFonts w:eastAsia="TimesNewRoman" w:cs="TimesNewRoman"/>
        </w:rPr>
        <w:t xml:space="preserve"> </w:t>
      </w:r>
      <w:r w:rsidRPr="00A00D8B">
        <w:rPr>
          <w:rFonts w:eastAsia="TimesNewRoman" w:cs="TimesNewRoman"/>
        </w:rPr>
        <w:t>biztons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g megtart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sa vagy a fenntarthat</w:t>
      </w:r>
      <w:r w:rsidRPr="00A00D8B">
        <w:rPr>
          <w:rFonts w:eastAsia="TimesNewRoman" w:cs="TimesNewRoman" w:hint="eastAsia"/>
        </w:rPr>
        <w:t>ó</w:t>
      </w:r>
      <w:r w:rsidRPr="00A00D8B">
        <w:rPr>
          <w:rFonts w:eastAsia="TimesNewRoman" w:cs="TimesNewRoman"/>
        </w:rPr>
        <w:t xml:space="preserve"> fejl</w:t>
      </w:r>
      <w:r w:rsidRPr="00A00D8B">
        <w:rPr>
          <w:rFonts w:eastAsia="TimesNewRoman+1" w:cs="TimesNewRoman+1" w:hint="eastAsia"/>
        </w:rPr>
        <w:t>ő</w:t>
      </w:r>
      <w:r w:rsidRPr="00A00D8B">
        <w:rPr>
          <w:rFonts w:eastAsia="TimesNewRoman" w:cs="TimesNewRoman"/>
        </w:rPr>
        <w:t>d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 tekintet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ben</w:t>
      </w:r>
      <w:r>
        <w:rPr>
          <w:rFonts w:eastAsia="TimesNewRoman" w:cs="TimesNewRoman"/>
        </w:rPr>
        <w:t>,</w:t>
      </w:r>
    </w:p>
    <w:p w:rsidR="000C2AD4" w:rsidRDefault="00783288" w:rsidP="001E2F91">
      <w:pPr>
        <w:numPr>
          <w:ilvl w:val="0"/>
          <w:numId w:val="5"/>
        </w:numPr>
        <w:autoSpaceDE w:val="0"/>
        <w:autoSpaceDN w:val="0"/>
        <w:adjustRightInd w:val="0"/>
        <w:rPr>
          <w:rFonts w:eastAsia="TimesNewRoman" w:cs="TimesNewRoman"/>
        </w:rPr>
      </w:pPr>
      <w:r w:rsidRPr="00A00D8B">
        <w:rPr>
          <w:rFonts w:eastAsia="TimesNewRoman" w:cs="TimesNewRoman"/>
        </w:rPr>
        <w:t>d) a v</w:t>
      </w:r>
      <w:r w:rsidRPr="00A00D8B">
        <w:rPr>
          <w:rFonts w:eastAsia="TimesNewRoman" w:cs="TimesNewRoman" w:hint="eastAsia"/>
        </w:rPr>
        <w:t>í</w:t>
      </w:r>
      <w:r w:rsidRPr="00A00D8B">
        <w:rPr>
          <w:rFonts w:eastAsia="TimesNewRoman" w:cs="TimesNewRoman"/>
        </w:rPr>
        <w:t>ztest megv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ltoztat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s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val vagy m</w:t>
      </w:r>
      <w:r w:rsidRPr="00A00D8B">
        <w:rPr>
          <w:rFonts w:eastAsia="TimesNewRoman" w:cs="TimesNewRoman" w:hint="eastAsia"/>
        </w:rPr>
        <w:t>ó</w:t>
      </w:r>
      <w:r w:rsidRPr="00A00D8B">
        <w:rPr>
          <w:rFonts w:eastAsia="TimesNewRoman" w:cs="TimesNewRoman"/>
        </w:rPr>
        <w:t>dos</w:t>
      </w:r>
      <w:r w:rsidRPr="00A00D8B">
        <w:rPr>
          <w:rFonts w:eastAsia="TimesNewRoman" w:cs="TimesNewRoman" w:hint="eastAsia"/>
        </w:rPr>
        <w:t>í</w:t>
      </w:r>
      <w:r w:rsidRPr="00A00D8B">
        <w:rPr>
          <w:rFonts w:eastAsia="TimesNewRoman" w:cs="TimesNewRoman"/>
        </w:rPr>
        <w:t>t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s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val szolg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lt hasznos c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lkit</w:t>
      </w:r>
      <w:r w:rsidRPr="00A00D8B">
        <w:rPr>
          <w:rFonts w:eastAsia="TimesNewRoman+1" w:cs="TimesNewRoman+1" w:hint="eastAsia"/>
        </w:rPr>
        <w:t>ű</w:t>
      </w:r>
      <w:r w:rsidRPr="00A00D8B">
        <w:rPr>
          <w:rFonts w:eastAsia="TimesNewRoman" w:cs="TimesNewRoman"/>
        </w:rPr>
        <w:t>z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sek a</w:t>
      </w:r>
      <w:r w:rsidR="001E2F91">
        <w:rPr>
          <w:rFonts w:eastAsia="TimesNewRoman" w:cs="TimesNewRoman"/>
        </w:rPr>
        <w:t xml:space="preserve"> </w:t>
      </w:r>
      <w:r w:rsidRPr="00A00D8B">
        <w:rPr>
          <w:rFonts w:eastAsia="TimesNewRoman" w:cs="TimesNewRoman"/>
        </w:rPr>
        <w:t>m</w:t>
      </w:r>
      <w:r w:rsidRPr="00A00D8B">
        <w:rPr>
          <w:rFonts w:eastAsia="TimesNewRoman+1" w:cs="TimesNewRoman+1" w:hint="eastAsia"/>
        </w:rPr>
        <w:t>ű</w:t>
      </w:r>
      <w:r w:rsidRPr="00A00D8B">
        <w:rPr>
          <w:rFonts w:eastAsia="TimesNewRoman" w:cs="TimesNewRoman"/>
        </w:rPr>
        <w:t>szaki megval</w:t>
      </w:r>
      <w:r w:rsidRPr="00A00D8B">
        <w:rPr>
          <w:rFonts w:eastAsia="TimesNewRoman" w:cs="TimesNewRoman" w:hint="eastAsia"/>
        </w:rPr>
        <w:t>ó</w:t>
      </w:r>
      <w:r w:rsidRPr="00A00D8B">
        <w:rPr>
          <w:rFonts w:eastAsia="TimesNewRoman" w:cs="TimesNewRoman"/>
        </w:rPr>
        <w:t>s</w:t>
      </w:r>
      <w:r w:rsidRPr="00A00D8B">
        <w:rPr>
          <w:rFonts w:eastAsia="TimesNewRoman" w:cs="TimesNewRoman" w:hint="eastAsia"/>
        </w:rPr>
        <w:t>í</w:t>
      </w:r>
      <w:r w:rsidRPr="00A00D8B">
        <w:rPr>
          <w:rFonts w:eastAsia="TimesNewRoman" w:cs="TimesNewRoman"/>
        </w:rPr>
        <w:t>that</w:t>
      </w:r>
      <w:r w:rsidRPr="00A00D8B">
        <w:rPr>
          <w:rFonts w:eastAsia="TimesNewRoman" w:cs="TimesNewRoman" w:hint="eastAsia"/>
        </w:rPr>
        <w:t>ó</w:t>
      </w:r>
      <w:r w:rsidRPr="00A00D8B">
        <w:rPr>
          <w:rFonts w:eastAsia="TimesNewRoman" w:cs="TimesNewRoman"/>
        </w:rPr>
        <w:t>s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g vagy az ar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nytalan k</w:t>
      </w:r>
      <w:r w:rsidRPr="00A00D8B">
        <w:rPr>
          <w:rFonts w:eastAsia="TimesNewRoman" w:cs="TimesNewRoman" w:hint="eastAsia"/>
        </w:rPr>
        <w:t>ö</w:t>
      </w:r>
      <w:r w:rsidRPr="00A00D8B">
        <w:rPr>
          <w:rFonts w:eastAsia="TimesNewRoman" w:cs="TimesNewRoman"/>
        </w:rPr>
        <w:t>lts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 xml:space="preserve">gek miatt nem </w:t>
      </w:r>
      <w:r w:rsidRPr="00A00D8B">
        <w:rPr>
          <w:rFonts w:eastAsia="TimesNewRoman" w:cs="TimesNewRoman" w:hint="eastAsia"/>
        </w:rPr>
        <w:t>é</w:t>
      </w:r>
      <w:r w:rsidRPr="00A00D8B">
        <w:rPr>
          <w:rFonts w:eastAsia="TimesNewRoman" w:cs="TimesNewRoman"/>
        </w:rPr>
        <w:t>rhet</w:t>
      </w:r>
      <w:r w:rsidRPr="00A00D8B">
        <w:rPr>
          <w:rFonts w:eastAsia="TimesNewRoman+1" w:cs="TimesNewRoman+1" w:hint="eastAsia"/>
        </w:rPr>
        <w:t>ő</w:t>
      </w:r>
      <w:r w:rsidRPr="00A00D8B">
        <w:rPr>
          <w:rFonts w:eastAsia="TimesNewRoman" w:cs="TimesNewRoman"/>
        </w:rPr>
        <w:t>k el m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s</w:t>
      </w:r>
      <w:r w:rsidR="001E2F91">
        <w:rPr>
          <w:rFonts w:eastAsia="TimesNewRoman" w:cs="TimesNewRoman"/>
        </w:rPr>
        <w:t xml:space="preserve"> </w:t>
      </w:r>
      <w:r w:rsidRPr="00A00D8B">
        <w:rPr>
          <w:rFonts w:eastAsia="TimesNewRoman" w:cs="TimesNewRoman"/>
        </w:rPr>
        <w:t>olyan m</w:t>
      </w:r>
      <w:r w:rsidRPr="00A00D8B">
        <w:rPr>
          <w:rFonts w:eastAsia="TimesNewRoman" w:cs="TimesNewRoman" w:hint="eastAsia"/>
        </w:rPr>
        <w:t>ó</w:t>
      </w:r>
      <w:r w:rsidRPr="00A00D8B">
        <w:rPr>
          <w:rFonts w:eastAsia="TimesNewRoman" w:cs="TimesNewRoman"/>
        </w:rPr>
        <w:t>don, ami a k</w:t>
      </w:r>
      <w:r w:rsidRPr="00A00D8B">
        <w:rPr>
          <w:rFonts w:eastAsia="TimesNewRoman" w:cs="TimesNewRoman" w:hint="eastAsia"/>
        </w:rPr>
        <w:t>ö</w:t>
      </w:r>
      <w:r w:rsidRPr="00A00D8B">
        <w:rPr>
          <w:rFonts w:eastAsia="TimesNewRoman" w:cs="TimesNewRoman"/>
        </w:rPr>
        <w:t>rnyezet sz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m</w:t>
      </w:r>
      <w:r w:rsidRPr="00A00D8B">
        <w:rPr>
          <w:rFonts w:eastAsia="TimesNewRoman" w:cs="TimesNewRoman" w:hint="eastAsia"/>
        </w:rPr>
        <w:t>á</w:t>
      </w:r>
      <w:r w:rsidRPr="00A00D8B">
        <w:rPr>
          <w:rFonts w:eastAsia="TimesNewRoman" w:cs="TimesNewRoman"/>
        </w:rPr>
        <w:t>ra j</w:t>
      </w:r>
      <w:r w:rsidRPr="00A00D8B">
        <w:rPr>
          <w:rFonts w:eastAsia="TimesNewRoman" w:cs="TimesNewRoman" w:hint="eastAsia"/>
        </w:rPr>
        <w:t>ó</w:t>
      </w:r>
      <w:r w:rsidRPr="00A00D8B">
        <w:rPr>
          <w:rFonts w:eastAsia="TimesNewRoman" w:cs="TimesNewRoman"/>
        </w:rPr>
        <w:t>val el</w:t>
      </w:r>
      <w:r w:rsidRPr="00A00D8B">
        <w:rPr>
          <w:rFonts w:eastAsia="TimesNewRoman+1" w:cs="TimesNewRoman+1" w:hint="eastAsia"/>
        </w:rPr>
        <w:t>ő</w:t>
      </w:r>
      <w:r w:rsidRPr="00A00D8B">
        <w:rPr>
          <w:rFonts w:eastAsia="TimesNewRoman" w:cs="TimesNewRoman"/>
        </w:rPr>
        <w:t>ny</w:t>
      </w:r>
      <w:r w:rsidRPr="00A00D8B">
        <w:rPr>
          <w:rFonts w:eastAsia="TimesNewRoman" w:cs="TimesNewRoman" w:hint="eastAsia"/>
        </w:rPr>
        <w:t>ö</w:t>
      </w:r>
      <w:r w:rsidRPr="00A00D8B">
        <w:rPr>
          <w:rFonts w:eastAsia="TimesNewRoman" w:cs="TimesNewRoman"/>
        </w:rPr>
        <w:t>sebb</w:t>
      </w:r>
      <w:r>
        <w:rPr>
          <w:rFonts w:eastAsia="TimesNewRoman" w:cs="TimesNewRoman"/>
        </w:rPr>
        <w:t>,</w:t>
      </w:r>
      <w:r w:rsidR="000C2AD4">
        <w:rPr>
          <w:rFonts w:eastAsia="TimesNewRoman" w:cs="TimesNewRoman"/>
        </w:rPr>
        <w:t xml:space="preserve"> </w:t>
      </w:r>
    </w:p>
    <w:p w:rsidR="00783288" w:rsidRDefault="000C2AD4" w:rsidP="001E2F91">
      <w:pPr>
        <w:numPr>
          <w:ilvl w:val="0"/>
          <w:numId w:val="5"/>
        </w:numPr>
        <w:rPr>
          <w:rFonts w:eastAsia="TimesNewRoman" w:cs="TimesNewRoman"/>
        </w:rPr>
      </w:pPr>
      <w:r>
        <w:rPr>
          <w:rFonts w:eastAsia="TimesNewRoman" w:cs="TimesNewRoman"/>
        </w:rPr>
        <w:t xml:space="preserve">e) </w:t>
      </w:r>
      <w:r w:rsidR="00783288">
        <w:rPr>
          <w:rFonts w:eastAsia="TimesNewRoman" w:cs="TimesNewRoman"/>
        </w:rPr>
        <w:t>(</w:t>
      </w:r>
      <w:r w:rsidR="00783288" w:rsidRPr="00E9147F">
        <w:rPr>
          <w:rFonts w:eastAsia="TimesNewRoman" w:cs="TimesNewRoman"/>
          <w:i/>
        </w:rPr>
        <w:t xml:space="preserve">a </w:t>
      </w:r>
      <w:r w:rsidRPr="00E9147F">
        <w:rPr>
          <w:rFonts w:eastAsia="TimesNewRoman" w:cs="TimesNewRoman"/>
          <w:i/>
        </w:rPr>
        <w:t xml:space="preserve">változtatás vagy </w:t>
      </w:r>
      <w:r w:rsidR="00783288" w:rsidRPr="00E9147F">
        <w:rPr>
          <w:rFonts w:eastAsia="TimesNewRoman" w:cs="TimesNewRoman"/>
          <w:i/>
        </w:rPr>
        <w:t>mó</w:t>
      </w:r>
      <w:r w:rsidRPr="00E9147F">
        <w:rPr>
          <w:rFonts w:eastAsia="TimesNewRoman" w:cs="TimesNewRoman"/>
          <w:i/>
        </w:rPr>
        <w:t>dosítás</w:t>
      </w:r>
      <w:r>
        <w:rPr>
          <w:rFonts w:eastAsia="TimesNewRoman" w:cs="TimesNewRoman"/>
        </w:rPr>
        <w:t xml:space="preserve">) </w:t>
      </w:r>
      <w:r w:rsidR="00783288" w:rsidRPr="00783288">
        <w:rPr>
          <w:rFonts w:eastAsia="TimesNewRoman" w:cs="TimesNewRoman"/>
        </w:rPr>
        <w:t>nem z</w:t>
      </w:r>
      <w:r w:rsidR="00783288" w:rsidRPr="00783288">
        <w:rPr>
          <w:rFonts w:eastAsia="TimesNewRoman" w:cs="TimesNewRoman" w:hint="eastAsia"/>
        </w:rPr>
        <w:t>á</w:t>
      </w:r>
      <w:r w:rsidR="00783288" w:rsidRPr="00783288">
        <w:rPr>
          <w:rFonts w:eastAsia="TimesNewRoman" w:cs="TimesNewRoman"/>
        </w:rPr>
        <w:t>rja ki vagy vesz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 xml:space="preserve">lyezteti </w:t>
      </w:r>
      <w:r w:rsidR="00783288" w:rsidRPr="00783288">
        <w:rPr>
          <w:rFonts w:eastAsia="TimesNewRoman" w:cs="TimesNewRoman" w:hint="eastAsia"/>
        </w:rPr>
        <w:t>á</w:t>
      </w:r>
      <w:r w:rsidR="00783288" w:rsidRPr="00783288">
        <w:rPr>
          <w:rFonts w:eastAsia="TimesNewRoman" w:cs="TimesNewRoman"/>
        </w:rPr>
        <w:t>lland</w:t>
      </w:r>
      <w:r w:rsidR="00783288" w:rsidRPr="00783288">
        <w:rPr>
          <w:rFonts w:eastAsia="TimesNewRoman" w:cs="TimesNewRoman" w:hint="eastAsia"/>
        </w:rPr>
        <w:t>ó</w:t>
      </w:r>
      <w:r w:rsidR="00783288" w:rsidRPr="00783288">
        <w:rPr>
          <w:rFonts w:eastAsia="TimesNewRoman" w:cs="TimesNewRoman"/>
        </w:rPr>
        <w:t xml:space="preserve"> jelleggel az </w:t>
      </w:r>
      <w:r>
        <w:rPr>
          <w:rFonts w:eastAsia="TimesNewRoman" w:cs="TimesNewRoman"/>
        </w:rPr>
        <w:t>..</w:t>
      </w:r>
      <w:r w:rsidR="00783288" w:rsidRPr="00783288">
        <w:rPr>
          <w:rFonts w:eastAsia="TimesNewRoman" w:cs="TimesNewRoman"/>
        </w:rPr>
        <w:t xml:space="preserve"> ir</w:t>
      </w:r>
      <w:r w:rsidR="00783288" w:rsidRPr="00783288">
        <w:rPr>
          <w:rFonts w:eastAsia="TimesNewRoman" w:cs="TimesNewRoman" w:hint="eastAsia"/>
        </w:rPr>
        <w:t>á</w:t>
      </w:r>
      <w:r w:rsidR="00783288" w:rsidRPr="00783288">
        <w:rPr>
          <w:rFonts w:eastAsia="TimesNewRoman" w:cs="TimesNewRoman"/>
        </w:rPr>
        <w:t>nyelvben foglalt</w:t>
      </w:r>
      <w:r>
        <w:rPr>
          <w:rFonts w:eastAsia="TimesNewRoman" w:cs="TimesNewRoman"/>
        </w:rPr>
        <w:t xml:space="preserve"> </w:t>
      </w:r>
      <w:r w:rsidR="00783288" w:rsidRPr="00783288">
        <w:rPr>
          <w:rFonts w:eastAsia="TimesNewRoman" w:cs="TimesNewRoman"/>
        </w:rPr>
        <w:t>c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>lkit</w:t>
      </w:r>
      <w:r w:rsidR="00783288" w:rsidRPr="00783288">
        <w:rPr>
          <w:rFonts w:eastAsia="TimesNewRoman+1" w:cs="TimesNewRoman+1" w:hint="eastAsia"/>
        </w:rPr>
        <w:t>ű</w:t>
      </w:r>
      <w:r w:rsidR="00783288" w:rsidRPr="00783288">
        <w:rPr>
          <w:rFonts w:eastAsia="TimesNewRoman" w:cs="TimesNewRoman"/>
        </w:rPr>
        <w:t>z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>sek teljes</w:t>
      </w:r>
      <w:r w:rsidR="00783288" w:rsidRPr="00783288">
        <w:rPr>
          <w:rFonts w:eastAsia="TimesNewRoman" w:cs="TimesNewRoman" w:hint="eastAsia"/>
        </w:rPr>
        <w:t>í</w:t>
      </w:r>
      <w:r w:rsidR="00783288" w:rsidRPr="00783288">
        <w:rPr>
          <w:rFonts w:eastAsia="TimesNewRoman" w:cs="TimesNewRoman"/>
        </w:rPr>
        <w:t>t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>s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>t az ugyanazon a v</w:t>
      </w:r>
      <w:r w:rsidR="00783288" w:rsidRPr="00783288">
        <w:rPr>
          <w:rFonts w:eastAsia="TimesNewRoman" w:cs="TimesNewRoman" w:hint="eastAsia"/>
        </w:rPr>
        <w:t>í</w:t>
      </w:r>
      <w:r w:rsidR="00783288" w:rsidRPr="00783288">
        <w:rPr>
          <w:rFonts w:eastAsia="TimesNewRoman" w:cs="TimesNewRoman"/>
        </w:rPr>
        <w:t>zgy</w:t>
      </w:r>
      <w:r w:rsidR="00783288" w:rsidRPr="00783288">
        <w:rPr>
          <w:rFonts w:eastAsia="TimesNewRoman+1" w:cs="TimesNewRoman+1" w:hint="eastAsia"/>
        </w:rPr>
        <w:t>ű</w:t>
      </w:r>
      <w:r w:rsidR="00783288" w:rsidRPr="00783288">
        <w:rPr>
          <w:rFonts w:eastAsia="TimesNewRoman" w:cs="TimesNewRoman"/>
        </w:rPr>
        <w:t>jt</w:t>
      </w:r>
      <w:r w:rsidR="00783288" w:rsidRPr="00783288">
        <w:rPr>
          <w:rFonts w:eastAsia="TimesNewRoman+1" w:cs="TimesNewRoman+1" w:hint="eastAsia"/>
        </w:rPr>
        <w:t>ő</w:t>
      </w:r>
      <w:r w:rsidR="00783288" w:rsidRPr="00783288">
        <w:rPr>
          <w:rFonts w:eastAsia="TimesNewRoman+1" w:cs="TimesNewRoman+1"/>
        </w:rPr>
        <w:t xml:space="preserve"> </w:t>
      </w:r>
      <w:r w:rsidR="00783288" w:rsidRPr="00783288">
        <w:rPr>
          <w:rFonts w:eastAsia="TimesNewRoman" w:cs="TimesNewRoman"/>
        </w:rPr>
        <w:t>ker</w:t>
      </w:r>
      <w:r w:rsidR="00783288" w:rsidRPr="00783288">
        <w:rPr>
          <w:rFonts w:eastAsia="TimesNewRoman" w:cs="TimesNewRoman" w:hint="eastAsia"/>
        </w:rPr>
        <w:t>ü</w:t>
      </w:r>
      <w:r w:rsidR="00783288" w:rsidRPr="00783288">
        <w:rPr>
          <w:rFonts w:eastAsia="TimesNewRoman" w:cs="TimesNewRoman"/>
        </w:rPr>
        <w:t>leten bel</w:t>
      </w:r>
      <w:r w:rsidR="00783288" w:rsidRPr="00783288">
        <w:rPr>
          <w:rFonts w:eastAsia="TimesNewRoman" w:cs="TimesNewRoman" w:hint="eastAsia"/>
        </w:rPr>
        <w:t>ü</w:t>
      </w:r>
      <w:r w:rsidR="00783288" w:rsidRPr="00783288">
        <w:rPr>
          <w:rFonts w:eastAsia="TimesNewRoman" w:cs="TimesNewRoman"/>
        </w:rPr>
        <w:t>li m</w:t>
      </w:r>
      <w:r w:rsidR="00783288" w:rsidRPr="00783288">
        <w:rPr>
          <w:rFonts w:eastAsia="TimesNewRoman" w:cs="TimesNewRoman" w:hint="eastAsia"/>
        </w:rPr>
        <w:t>á</w:t>
      </w:r>
      <w:r w:rsidR="00783288" w:rsidRPr="00783288">
        <w:rPr>
          <w:rFonts w:eastAsia="TimesNewRoman" w:cs="TimesNewRoman"/>
        </w:rPr>
        <w:t>s v</w:t>
      </w:r>
      <w:r w:rsidR="00783288" w:rsidRPr="00783288">
        <w:rPr>
          <w:rFonts w:eastAsia="TimesNewRoman" w:cs="TimesNewRoman" w:hint="eastAsia"/>
        </w:rPr>
        <w:t>í</w:t>
      </w:r>
      <w:r w:rsidR="00783288" w:rsidRPr="00783288">
        <w:rPr>
          <w:rFonts w:eastAsia="TimesNewRoman" w:cs="TimesNewRoman"/>
        </w:rPr>
        <w:t>ztestek eset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 xml:space="preserve">n, 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>s</w:t>
      </w:r>
      <w:r w:rsidR="00783288">
        <w:rPr>
          <w:rFonts w:eastAsia="TimesNewRoman" w:cs="TimesNewRoman"/>
        </w:rPr>
        <w:t xml:space="preserve"> </w:t>
      </w:r>
      <w:r w:rsidR="00783288" w:rsidRPr="00783288">
        <w:rPr>
          <w:rFonts w:eastAsia="TimesNewRoman" w:cs="TimesNewRoman" w:hint="eastAsia"/>
        </w:rPr>
        <w:t>ö</w:t>
      </w:r>
      <w:r w:rsidR="00783288" w:rsidRPr="00783288">
        <w:rPr>
          <w:rFonts w:eastAsia="TimesNewRoman" w:cs="TimesNewRoman"/>
        </w:rPr>
        <w:t>sszhangban van az egy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>b k</w:t>
      </w:r>
      <w:r w:rsidR="00783288" w:rsidRPr="00783288">
        <w:rPr>
          <w:rFonts w:eastAsia="TimesNewRoman" w:cs="TimesNewRoman" w:hint="eastAsia"/>
        </w:rPr>
        <w:t>ö</w:t>
      </w:r>
      <w:r w:rsidR="00783288" w:rsidRPr="00783288">
        <w:rPr>
          <w:rFonts w:eastAsia="TimesNewRoman" w:cs="TimesNewRoman"/>
        </w:rPr>
        <w:t>z</w:t>
      </w:r>
      <w:r w:rsidR="00783288" w:rsidRPr="00783288">
        <w:rPr>
          <w:rFonts w:eastAsia="TimesNewRoman" w:cs="TimesNewRoman" w:hint="eastAsia"/>
        </w:rPr>
        <w:t>ö</w:t>
      </w:r>
      <w:r w:rsidR="00783288" w:rsidRPr="00783288">
        <w:rPr>
          <w:rFonts w:eastAsia="TimesNewRoman" w:cs="TimesNewRoman"/>
        </w:rPr>
        <w:t>ss</w:t>
      </w:r>
      <w:r w:rsidR="00783288" w:rsidRPr="00783288">
        <w:rPr>
          <w:rFonts w:eastAsia="TimesNewRoman" w:cs="TimesNewRoman" w:hint="eastAsia"/>
        </w:rPr>
        <w:t>é</w:t>
      </w:r>
      <w:r w:rsidR="00783288" w:rsidRPr="00783288">
        <w:rPr>
          <w:rFonts w:eastAsia="TimesNewRoman" w:cs="TimesNewRoman"/>
        </w:rPr>
        <w:t>gi k</w:t>
      </w:r>
      <w:r w:rsidR="00783288" w:rsidRPr="00783288">
        <w:rPr>
          <w:rFonts w:eastAsia="TimesNewRoman" w:cs="TimesNewRoman" w:hint="eastAsia"/>
        </w:rPr>
        <w:t>ö</w:t>
      </w:r>
      <w:r w:rsidR="00783288" w:rsidRPr="00783288">
        <w:rPr>
          <w:rFonts w:eastAsia="TimesNewRoman" w:cs="TimesNewRoman"/>
        </w:rPr>
        <w:t>rnyezeti joganyaggal</w:t>
      </w:r>
      <w:r w:rsidR="001E2F91">
        <w:rPr>
          <w:rFonts w:eastAsia="TimesNewRoman" w:cs="TimesNewRoman"/>
        </w:rPr>
        <w:t>.</w:t>
      </w:r>
      <w:r>
        <w:rPr>
          <w:rFonts w:eastAsia="TimesNewRoman" w:cs="TimesNewRoman"/>
        </w:rPr>
        <w:t>”</w:t>
      </w:r>
    </w:p>
    <w:p w:rsidR="00A71068" w:rsidRDefault="00A71068" w:rsidP="002412CF">
      <w:pPr>
        <w:jc w:val="both"/>
      </w:pPr>
    </w:p>
    <w:p w:rsidR="00A71068" w:rsidRDefault="00750E7F" w:rsidP="002412CF">
      <w:pPr>
        <w:jc w:val="both"/>
      </w:pPr>
      <w:r>
        <w:t>1</w:t>
      </w:r>
      <w:r w:rsidR="00A73D60">
        <w:t>2</w:t>
      </w:r>
      <w:r>
        <w:t xml:space="preserve">. </w:t>
      </w:r>
      <w:r w:rsidR="00A71068">
        <w:t xml:space="preserve">Azt, hogy egy tervváltozatot környezeti szempontból meg szabad-e valósítani, a VKI szerinti teszt segítségével kell eldönteni, mert ez előírja azt, hogy számszerűsített értékelési </w:t>
      </w:r>
      <w:r w:rsidR="00A71068">
        <w:lastRenderedPageBreak/>
        <w:t xml:space="preserve">eredményekre kell alapozni a döntéseket. Ez nehéz feladat, még nem alakult ki teljesen a végrehajtásának a módszertana, de már sok olyan tanulmány és tervezési segédlet nyilvánosságra került, amely a teszt végrehajtását segíti. </w:t>
      </w:r>
      <w:r>
        <w:t>Ezeket alkalmazni kell.</w:t>
      </w:r>
    </w:p>
    <w:p w:rsidR="00A71068" w:rsidRDefault="00A71068" w:rsidP="002412CF">
      <w:pPr>
        <w:jc w:val="both"/>
      </w:pPr>
    </w:p>
    <w:p w:rsidR="003F082B" w:rsidRDefault="00750E7F" w:rsidP="002412CF">
      <w:pPr>
        <w:jc w:val="both"/>
      </w:pPr>
      <w:r>
        <w:t>1</w:t>
      </w:r>
      <w:r w:rsidR="00A73D60">
        <w:t>3</w:t>
      </w:r>
      <w:r>
        <w:t xml:space="preserve">. </w:t>
      </w:r>
      <w:r w:rsidR="00A71068">
        <w:t>Nem egyértelmű ma még az, hogy a VKI tesztet a tervezési folyamat melyik szakaszában kell elvégezni. Az biztos azonban, hogy</w:t>
      </w:r>
      <w:r>
        <w:t xml:space="preserve"> akkor, ha a kitűzött gazdasági cél különböző mértékben, különböző  tervváltozatokkal érhető el (ha van környezeti szempontból jobb megoldás),</w:t>
      </w:r>
      <w:r w:rsidR="00A71068">
        <w:t xml:space="preserve"> a tesztet </w:t>
      </w:r>
      <w:r w:rsidR="007339EC">
        <w:t xml:space="preserve">a lehetséges </w:t>
      </w:r>
      <w:r w:rsidR="00A71068">
        <w:t>tervváltozatok figyelembe vételével kell elvégezni. Az is biztos, hogy a végső döntést arról, hogy melyik tervváltozatot valósítják meg, a VKI 4.7 teszt</w:t>
      </w:r>
      <w:r w:rsidR="007F71C1" w:rsidRPr="00DA5340">
        <w:t>, valamint a Natura 2000 előírás</w:t>
      </w:r>
      <w:r w:rsidR="00006324" w:rsidRPr="00DA5340">
        <w:t>a</w:t>
      </w:r>
      <w:r w:rsidR="00006324">
        <w:t>inak figyelembe vételével</w:t>
      </w:r>
      <w:r w:rsidR="00A71068">
        <w:t xml:space="preserve"> kell meghozni. </w:t>
      </w:r>
    </w:p>
    <w:p w:rsidR="003F082B" w:rsidRDefault="003F082B" w:rsidP="002412CF">
      <w:pPr>
        <w:jc w:val="both"/>
      </w:pPr>
    </w:p>
    <w:p w:rsidR="003F082B" w:rsidRPr="003F082B" w:rsidRDefault="003F082B" w:rsidP="003F082B">
      <w:pPr>
        <w:autoSpaceDE w:val="0"/>
        <w:autoSpaceDN w:val="0"/>
        <w:adjustRightInd w:val="0"/>
        <w:jc w:val="both"/>
        <w:rPr>
          <w:rFonts w:cs="TimesNewRomanPSMT"/>
          <w:szCs w:val="18"/>
        </w:rPr>
      </w:pPr>
      <w:r w:rsidRPr="003F082B">
        <w:rPr>
          <w:rFonts w:cs="TimesNewRomanPSMT"/>
          <w:szCs w:val="18"/>
        </w:rPr>
        <w:t>A N</w:t>
      </w:r>
      <w:r w:rsidR="004C4B70">
        <w:rPr>
          <w:rFonts w:cs="TimesNewRomanPSMT"/>
          <w:szCs w:val="18"/>
        </w:rPr>
        <w:t>atura</w:t>
      </w:r>
      <w:r w:rsidRPr="003F082B">
        <w:rPr>
          <w:rFonts w:cs="TimesNewRomanPSMT"/>
          <w:szCs w:val="18"/>
        </w:rPr>
        <w:t xml:space="preserve"> 2000 </w:t>
      </w:r>
      <w:r w:rsidR="004C4B70">
        <w:rPr>
          <w:rFonts w:cs="TimesNewRomanPSMT"/>
          <w:szCs w:val="18"/>
        </w:rPr>
        <w:t xml:space="preserve">területekre vonatkozó </w:t>
      </w:r>
      <w:r w:rsidRPr="003F082B">
        <w:rPr>
          <w:rFonts w:cs="TimesNewRomanPSMT"/>
          <w:szCs w:val="18"/>
        </w:rPr>
        <w:t>előírások megszabják azokat a feltételeket, amelyeknek teljesülniük kell ahhoz, hogy a N</w:t>
      </w:r>
      <w:r w:rsidR="004C4B70">
        <w:rPr>
          <w:rFonts w:cs="TimesNewRomanPSMT"/>
          <w:szCs w:val="18"/>
        </w:rPr>
        <w:t>atura</w:t>
      </w:r>
      <w:r w:rsidRPr="003F082B">
        <w:rPr>
          <w:rFonts w:cs="TimesNewRomanPSMT"/>
          <w:szCs w:val="18"/>
        </w:rPr>
        <w:t xml:space="preserve"> 2000 területeken olyan beavatkozást végezzenek, amelynek negatív természeti hatása lehet:</w:t>
      </w:r>
    </w:p>
    <w:p w:rsidR="003F082B" w:rsidRPr="003F082B" w:rsidRDefault="003F082B" w:rsidP="003F082B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PSMT"/>
          <w:szCs w:val="18"/>
        </w:rPr>
      </w:pPr>
      <w:r w:rsidRPr="003F082B">
        <w:rPr>
          <w:rFonts w:cs="TimesNewRomanPSMT"/>
          <w:szCs w:val="18"/>
        </w:rPr>
        <w:t>„Amennyiben a természeti területre gyakorolt hatások vizsgálatának kedvezőtlen eredménye ellenére valamely elsődlegesen</w:t>
      </w:r>
      <w:r>
        <w:rPr>
          <w:rFonts w:cs="TimesNewRomanPSMT"/>
          <w:szCs w:val="18"/>
        </w:rPr>
        <w:t xml:space="preserve"> </w:t>
      </w:r>
      <w:r w:rsidRPr="003F082B">
        <w:rPr>
          <w:rFonts w:cs="TimesNewRomanPSMT"/>
          <w:szCs w:val="18"/>
        </w:rPr>
        <w:t>fontos, társadalmi vagy gazdasági jellegű közösségi érdekre figyelemmel - alternatív megoldás hiányában - mégis végre kell hajtani egy tervet vagy programot, a tagállam minden szükséges kiegyenlítő intézkedést megtesz a Natura 2000 általános egységességének megóvása érdekében. A tagállam az elfogadott kiegyenlítő intézkedésekről értesíti a Bizottságot.</w:t>
      </w:r>
    </w:p>
    <w:p w:rsidR="004C4B70" w:rsidRDefault="003F082B" w:rsidP="004C4B70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cs="TimesNewRomanPSMT"/>
          <w:szCs w:val="18"/>
        </w:rPr>
      </w:pPr>
      <w:r w:rsidRPr="003F082B">
        <w:rPr>
          <w:rFonts w:cs="TimesNewRomanPSMT"/>
          <w:szCs w:val="18"/>
        </w:rPr>
        <w:t>Amennyiben az érintett természeti terület elsődleges fontosságú természetes élőhely</w:t>
      </w:r>
      <w:r w:rsidR="001E2F91">
        <w:rPr>
          <w:rFonts w:cs="TimesNewRomanPSMT"/>
          <w:szCs w:val="18"/>
        </w:rPr>
        <w:t xml:space="preserve"> </w:t>
      </w:r>
      <w:r w:rsidRPr="003F082B">
        <w:rPr>
          <w:rFonts w:cs="TimesNewRomanPSMT"/>
          <w:szCs w:val="18"/>
        </w:rPr>
        <w:t>típust foglal magában és/vagy veszélyeztetett faj élőhelyéül szolgál, kizárólag az emberi egészséggel, a közbiztonsággal vagy a környezet szempontjából elsődlegesen fontos előnyökkel kapcsolatos, továbbá - a Bizottság véleménye szerint - a közérdek kényszerítő indokain alapuló szempontokat lehet érvényesíteni.”</w:t>
      </w:r>
    </w:p>
    <w:p w:rsidR="004C4B70" w:rsidRPr="004C4B70" w:rsidRDefault="004C4B70" w:rsidP="004C4B70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rFonts w:cs="TimesNewRomanPSMT"/>
          <w:szCs w:val="18"/>
        </w:rPr>
        <w:t>„</w:t>
      </w:r>
      <w:r w:rsidRPr="004C4B70">
        <w:rPr>
          <w:rFonts w:cs="TimesNewRomanPSMT"/>
          <w:szCs w:val="18"/>
        </w:rPr>
        <w:t>A beruházást úgy kell megvalósítani, hogy az a</w:t>
      </w:r>
      <w:r>
        <w:rPr>
          <w:rFonts w:cs="TimesNewRomanPSMT"/>
          <w:szCs w:val="18"/>
        </w:rPr>
        <w:t xml:space="preserve"> </w:t>
      </w:r>
      <w:r w:rsidRPr="004C4B70">
        <w:rPr>
          <w:rFonts w:cs="TimesNewRomanPSMT"/>
          <w:szCs w:val="18"/>
        </w:rPr>
        <w:t>lehető legkisebb kedvezőtlen hatással járjon.</w:t>
      </w:r>
      <w:r>
        <w:rPr>
          <w:rFonts w:cs="TimesNewRomanPSMT"/>
          <w:szCs w:val="18"/>
        </w:rPr>
        <w:t>”</w:t>
      </w:r>
    </w:p>
    <w:p w:rsidR="004C4B70" w:rsidRPr="003F082B" w:rsidRDefault="004C4B70" w:rsidP="004C4B70">
      <w:pPr>
        <w:numPr>
          <w:ilvl w:val="0"/>
          <w:numId w:val="4"/>
        </w:numPr>
        <w:autoSpaceDE w:val="0"/>
        <w:autoSpaceDN w:val="0"/>
        <w:adjustRightInd w:val="0"/>
        <w:jc w:val="both"/>
      </w:pPr>
      <w:r>
        <w:rPr>
          <w:rFonts w:cs="TimesNewRomanPSMT"/>
          <w:szCs w:val="18"/>
        </w:rPr>
        <w:t xml:space="preserve">„A </w:t>
      </w:r>
      <w:r w:rsidRPr="004C4B70">
        <w:rPr>
          <w:rFonts w:cs="TimesNewRomanPSMT"/>
          <w:szCs w:val="18"/>
        </w:rPr>
        <w:t>felügyelőség a terv kidolgozója, illetve a beruházás engedélyese részére a Natura 2000</w:t>
      </w:r>
      <w:r>
        <w:rPr>
          <w:rFonts w:cs="TimesNewRomanPSMT"/>
          <w:szCs w:val="18"/>
        </w:rPr>
        <w:t xml:space="preserve"> </w:t>
      </w:r>
      <w:r w:rsidRPr="004C4B70">
        <w:rPr>
          <w:rFonts w:cs="TimesNewRomanPSMT"/>
          <w:szCs w:val="18"/>
        </w:rPr>
        <w:t>területek egységességének, valamint az élőhelyek és a fajok kedvező természetvédelmi helyzetének megőrzése, illetve elérése</w:t>
      </w:r>
      <w:r>
        <w:rPr>
          <w:rFonts w:cs="TimesNewRomanPSMT"/>
          <w:szCs w:val="18"/>
        </w:rPr>
        <w:t xml:space="preserve"> </w:t>
      </w:r>
      <w:r w:rsidRPr="004C4B70">
        <w:rPr>
          <w:rFonts w:cs="TimesNewRomanPSMT"/>
          <w:szCs w:val="18"/>
        </w:rPr>
        <w:t>érdekében a várható kedvezőtlen hatással arányos, azt ellensúlyozó helyreállítási és fejlesztési feladat elvégzését írja elő az érintett vagy más területen</w:t>
      </w:r>
      <w:r>
        <w:rPr>
          <w:rFonts w:ascii="TimesNewRomanPSMT" w:hAnsi="TimesNewRomanPSMT" w:cs="TimesNewRomanPSMT"/>
          <w:sz w:val="18"/>
          <w:szCs w:val="18"/>
        </w:rPr>
        <w:t>.”</w:t>
      </w:r>
    </w:p>
    <w:p w:rsidR="003F082B" w:rsidRDefault="003F082B" w:rsidP="002412CF">
      <w:pPr>
        <w:jc w:val="both"/>
      </w:pPr>
    </w:p>
    <w:p w:rsidR="00A71068" w:rsidRDefault="00750E7F" w:rsidP="002412CF">
      <w:pPr>
        <w:jc w:val="both"/>
      </w:pPr>
      <w:smartTag w:uri="urn:schemas-microsoft-com:office:smarttags" w:element="metricconverter">
        <w:smartTagPr>
          <w:attr w:name="ProductID" w:val="14. A"/>
        </w:smartTagPr>
        <w:r>
          <w:t>1</w:t>
        </w:r>
        <w:r w:rsidR="00A73D60">
          <w:t>4</w:t>
        </w:r>
        <w:r>
          <w:t xml:space="preserve">. </w:t>
        </w:r>
        <w:r w:rsidR="000C6F2D">
          <w:t>A</w:t>
        </w:r>
      </w:smartTag>
      <w:r w:rsidR="000C6F2D">
        <w:t xml:space="preserve"> részletes terveket </w:t>
      </w:r>
      <w:r w:rsidR="000C6F2D" w:rsidRPr="00A73D60">
        <w:t>a</w:t>
      </w:r>
      <w:r w:rsidR="0001559D" w:rsidRPr="00A73D60">
        <w:t xml:space="preserve"> végleges és </w:t>
      </w:r>
      <w:r w:rsidR="00523DBC" w:rsidRPr="00A73D60">
        <w:t xml:space="preserve">a </w:t>
      </w:r>
      <w:r w:rsidR="0001559D" w:rsidRPr="00A73D60">
        <w:t xml:space="preserve">környezetvédelmi </w:t>
      </w:r>
      <w:r w:rsidR="002412CF" w:rsidRPr="00A73D60">
        <w:t>fő</w:t>
      </w:r>
      <w:r w:rsidR="0001559D" w:rsidRPr="00A73D60">
        <w:t>hatóság</w:t>
      </w:r>
      <w:r w:rsidR="002412CF" w:rsidRPr="00A73D60">
        <w:t xml:space="preserve"> (OKTVF)</w:t>
      </w:r>
      <w:r w:rsidR="0001559D" w:rsidRPr="00A73D60">
        <w:t xml:space="preserve"> által elfogadott</w:t>
      </w:r>
      <w:r w:rsidR="000C6F2D">
        <w:t xml:space="preserve"> SKV javaslatainak figyelembevételével kell elkészíteni és a részletes tervek VKI </w:t>
      </w:r>
      <w:r w:rsidR="000C6F2D" w:rsidRPr="00425B26">
        <w:t>és Élőhely tesztjeit</w:t>
      </w:r>
      <w:r w:rsidR="00425B26" w:rsidRPr="00A73D60">
        <w:t>, Natura hatásbecslés</w:t>
      </w:r>
      <w:r w:rsidR="00523DBC" w:rsidRPr="00A73D60">
        <w:t>é</w:t>
      </w:r>
      <w:r w:rsidR="00425B26" w:rsidRPr="00A73D60">
        <w:t>t</w:t>
      </w:r>
      <w:r w:rsidR="000C6F2D" w:rsidRPr="00425B26">
        <w:t xml:space="preserve"> és </w:t>
      </w:r>
      <w:r w:rsidR="00425B26" w:rsidRPr="00A73D60">
        <w:t>k</w:t>
      </w:r>
      <w:r w:rsidR="00A71068" w:rsidRPr="00425B26">
        <w:t xml:space="preserve">örnyezeti </w:t>
      </w:r>
      <w:r w:rsidR="00425B26" w:rsidRPr="00A73D60">
        <w:t>h</w:t>
      </w:r>
      <w:r w:rsidR="00A71068" w:rsidRPr="00A73D60">
        <w:t>a</w:t>
      </w:r>
      <w:r w:rsidR="00A71068" w:rsidRPr="00425B26">
        <w:t>tásvizsgálat</w:t>
      </w:r>
      <w:r w:rsidR="000C6F2D" w:rsidRPr="00425B26">
        <w:t>át is annak figyelem</w:t>
      </w:r>
      <w:r w:rsidR="000C6F2D" w:rsidRPr="00A73D60">
        <w:t>bevé</w:t>
      </w:r>
      <w:r w:rsidR="000C6F2D" w:rsidRPr="00425B26">
        <w:t xml:space="preserve">telével kell végrehajtani. </w:t>
      </w:r>
    </w:p>
    <w:p w:rsidR="00A71068" w:rsidRDefault="00A71068" w:rsidP="002412CF">
      <w:pPr>
        <w:jc w:val="both"/>
      </w:pPr>
    </w:p>
    <w:p w:rsidR="00A71068" w:rsidRDefault="007968A2" w:rsidP="002412CF">
      <w:pPr>
        <w:jc w:val="both"/>
      </w:pPr>
      <w:smartTag w:uri="urn:schemas-microsoft-com:office:smarttags" w:element="metricconverter">
        <w:smartTagPr>
          <w:attr w:name="ProductID" w:val="15. A"/>
        </w:smartTagPr>
        <w:r>
          <w:t>1</w:t>
        </w:r>
        <w:r w:rsidR="00A73D60">
          <w:t>5</w:t>
        </w:r>
        <w:r>
          <w:t xml:space="preserve">. </w:t>
        </w:r>
        <w:r w:rsidR="00A71068">
          <w:t>A</w:t>
        </w:r>
      </w:smartTag>
      <w:r w:rsidR="00A71068">
        <w:t xml:space="preserve"> tervváltozatokat az előbbi háromféle típusú környezeti vizsgálatra vonatkozó előírások alapján kell értékelni.  Az értékeléshez fel kell használni a külföldi kezdeményezéseket és a jelenleg alakuló „legjobb gyakorlatot”, különös tekintettel arra, hogy az előbb említett háromféle módszer kombinációjára épülő vizsgálatot a vízgazdálkodás feltételeit javító új infrastrukturális beavatkozások tervei, és </w:t>
      </w:r>
      <w:r w:rsidR="007339EC">
        <w:t>az OKT tumása</w:t>
      </w:r>
      <w:r w:rsidR="00A71068">
        <w:t xml:space="preserve"> szerint még más típusú vízgazdálkodási tervek esetén sem alkalmaztak. Egyes előírások teljesítéséhez olyan adatokra van szükség, amelyeket csak részletes tervek alapján lehet biztosítani. Ezért a tervezésnek az első szakaszában, a Stratégiai Környezeti Vizsgálat alapján</w:t>
      </w:r>
      <w:r>
        <w:t>,</w:t>
      </w:r>
      <w:r w:rsidR="00A71068">
        <w:t xml:space="preserve"> csak azt lehet megállapítani, ha valamelyik tervváltozat egészen biztosan nem valósítható meg környezeti szempontból. A megvalósítandó változatot a részletes információk birtokában lehet kiválasztani.</w:t>
      </w:r>
    </w:p>
    <w:p w:rsidR="00A71068" w:rsidRDefault="00A71068" w:rsidP="002412CF">
      <w:pPr>
        <w:jc w:val="both"/>
      </w:pPr>
    </w:p>
    <w:p w:rsidR="007422C7" w:rsidRDefault="007968A2" w:rsidP="002412CF">
      <w:pPr>
        <w:jc w:val="both"/>
      </w:pPr>
      <w:r>
        <w:t>1</w:t>
      </w:r>
      <w:r w:rsidR="00A73D60">
        <w:t>6</w:t>
      </w:r>
      <w:r>
        <w:t xml:space="preserve">. </w:t>
      </w:r>
      <w:r w:rsidR="007422C7">
        <w:t>Az OKT mindkét hazai szakaszra vonatkozó SKV-ben fontosnak tartotta volna a hazai Duna szakaszon és a Duna külföldi szakaszain tervezett beavatkozások összemérését, a folyamatban lévő tervezési folyamatok összehangolási lehetőségeinek vizsgálatát. Felhívja a figyelmet arra, hogy a további tervezés során erre különös figyelmet kell fordítani.</w:t>
      </w:r>
    </w:p>
    <w:p w:rsidR="007422C7" w:rsidRDefault="007422C7" w:rsidP="002412CF">
      <w:pPr>
        <w:jc w:val="both"/>
      </w:pPr>
    </w:p>
    <w:p w:rsidR="00F34D52" w:rsidRDefault="007968A2" w:rsidP="002412CF">
      <w:pPr>
        <w:jc w:val="both"/>
        <w:rPr>
          <w:rFonts w:cs="Helvetica-Narrow"/>
          <w:color w:val="000000"/>
          <w:szCs w:val="23"/>
        </w:rPr>
      </w:pPr>
      <w:r>
        <w:t>1</w:t>
      </w:r>
      <w:r w:rsidR="00A73D60">
        <w:t>7</w:t>
      </w:r>
      <w:r>
        <w:t xml:space="preserve">. Az ICPDR 2004-ben Akció Programot dolgozott ki a Fenntartható Árvízvédelemhez a Duna vízgyűjtőjén. Az Akció Programot az EU 2007/60/EC Árvíz Irányelvével összehangolták és figyelembe veszik az EU VKI előírásait is. Az Akció Program keretében külön tervek készülnek a Duna egyes nagyobb szakaszaira és nagyobb mellékfolyóira.  </w:t>
      </w:r>
      <w:r w:rsidRPr="00782482">
        <w:rPr>
          <w:rFonts w:cs="Helvetica-Narrow"/>
          <w:color w:val="000000"/>
          <w:szCs w:val="23"/>
        </w:rPr>
        <w:t>Az ICPDR Akcióprogramjának részeként elkészültek a részvízgyűjtők árvízvédelmi akcióprogramjai.</w:t>
      </w:r>
      <w:r>
        <w:rPr>
          <w:rFonts w:cs="Helvetica-Narrow"/>
          <w:color w:val="000000"/>
          <w:szCs w:val="23"/>
        </w:rPr>
        <w:t xml:space="preserve"> Ezeknek a hazai Duna szakaszra vonatkozó részeit a hajózhatóság feltételeinek javítását szolgáló tervek készítése során figyelembe kell venni.</w:t>
      </w:r>
    </w:p>
    <w:p w:rsidR="00F34D52" w:rsidRDefault="00F34D52" w:rsidP="002412CF">
      <w:pPr>
        <w:jc w:val="both"/>
        <w:rPr>
          <w:rFonts w:cs="Helvetica-Narrow"/>
          <w:color w:val="000000"/>
          <w:szCs w:val="23"/>
        </w:rPr>
      </w:pPr>
    </w:p>
    <w:p w:rsidR="00F34D52" w:rsidRDefault="00F34D52" w:rsidP="002412CF">
      <w:pPr>
        <w:jc w:val="both"/>
        <w:rPr>
          <w:rFonts w:cs="Helvetica-Narrow"/>
          <w:color w:val="000000"/>
          <w:szCs w:val="23"/>
        </w:rPr>
      </w:pPr>
      <w:smartTag w:uri="urn:schemas-microsoft-com:office:smarttags" w:element="metricconverter">
        <w:smartTagPr>
          <w:attr w:name="ProductID" w:val="18. A"/>
        </w:smartTagPr>
        <w:r>
          <w:rPr>
            <w:rFonts w:cs="Helvetica-Narrow"/>
            <w:color w:val="000000"/>
            <w:szCs w:val="23"/>
          </w:rPr>
          <w:t>1</w:t>
        </w:r>
        <w:r w:rsidR="00A73D60">
          <w:rPr>
            <w:rFonts w:cs="Helvetica-Narrow"/>
            <w:color w:val="000000"/>
            <w:szCs w:val="23"/>
          </w:rPr>
          <w:t>8</w:t>
        </w:r>
        <w:r>
          <w:rPr>
            <w:rFonts w:cs="Helvetica-Narrow"/>
            <w:color w:val="000000"/>
            <w:szCs w:val="23"/>
          </w:rPr>
          <w:t>. A</w:t>
        </w:r>
      </w:smartTag>
      <w:r>
        <w:rPr>
          <w:rFonts w:cs="Helvetica-Narrow"/>
          <w:color w:val="000000"/>
          <w:szCs w:val="23"/>
        </w:rPr>
        <w:t xml:space="preserve"> tervezés során figyelembe kell venni a 2010-ben elfogadásra kerülő Duna vízgyűjtőkerület vízgyűjtő-gazdálkodási tervében foglaltakat, valamint a Duna Magyarországi szakaszán elkészült Duna részvízgyűjtő vízgyűjtő-gazdálkodási tervét.</w:t>
      </w:r>
    </w:p>
    <w:p w:rsidR="00F34D52" w:rsidRDefault="00F34D52" w:rsidP="002412CF">
      <w:pPr>
        <w:jc w:val="both"/>
        <w:rPr>
          <w:rFonts w:cs="Helvetica-Narrow"/>
          <w:color w:val="000000"/>
          <w:szCs w:val="23"/>
        </w:rPr>
      </w:pPr>
    </w:p>
    <w:p w:rsidR="00F34D52" w:rsidRDefault="00A73D60" w:rsidP="002412CF">
      <w:pPr>
        <w:jc w:val="both"/>
        <w:rPr>
          <w:rFonts w:cs="Helvetica-Narrow"/>
          <w:color w:val="000000"/>
          <w:szCs w:val="23"/>
        </w:rPr>
      </w:pPr>
      <w:r>
        <w:rPr>
          <w:rFonts w:cs="Helvetica-Narrow"/>
          <w:color w:val="000000"/>
          <w:szCs w:val="23"/>
        </w:rPr>
        <w:t>19</w:t>
      </w:r>
      <w:r w:rsidR="00F34D52">
        <w:rPr>
          <w:rFonts w:cs="Helvetica-Narrow"/>
          <w:color w:val="000000"/>
          <w:szCs w:val="23"/>
        </w:rPr>
        <w:t>. Az OKT felhívja a figyelmet arra</w:t>
      </w:r>
      <w:r w:rsidR="00CE0A4B">
        <w:rPr>
          <w:rFonts w:cs="Helvetica-Narrow"/>
          <w:color w:val="000000"/>
          <w:szCs w:val="23"/>
        </w:rPr>
        <w:t xml:space="preserve">, hogy a beavatkozások tervezése, megvalósítása </w:t>
      </w:r>
      <w:r w:rsidR="00990F74">
        <w:rPr>
          <w:rFonts w:cs="Helvetica-Narrow"/>
          <w:color w:val="000000"/>
          <w:szCs w:val="23"/>
        </w:rPr>
        <w:t xml:space="preserve">és </w:t>
      </w:r>
      <w:r w:rsidR="00CE0A4B">
        <w:rPr>
          <w:rFonts w:cs="Helvetica-Narrow"/>
          <w:color w:val="000000"/>
          <w:szCs w:val="23"/>
        </w:rPr>
        <w:t xml:space="preserve">működése </w:t>
      </w:r>
      <w:r w:rsidR="00F34D52">
        <w:rPr>
          <w:rFonts w:cs="Helvetica-Narrow"/>
          <w:color w:val="000000"/>
          <w:szCs w:val="23"/>
        </w:rPr>
        <w:t xml:space="preserve">során nagy hangsúlyt kell fektetni a környezeti monitoringra. Ha egy beavatkozás </w:t>
      </w:r>
      <w:r w:rsidR="00CE0A4B">
        <w:rPr>
          <w:rFonts w:cs="Helvetica-Narrow"/>
          <w:color w:val="000000"/>
          <w:szCs w:val="23"/>
        </w:rPr>
        <w:t xml:space="preserve">típus </w:t>
      </w:r>
      <w:r w:rsidR="00F34D52">
        <w:rPr>
          <w:rFonts w:cs="Helvetica-Narrow"/>
          <w:color w:val="000000"/>
          <w:szCs w:val="23"/>
        </w:rPr>
        <w:t xml:space="preserve">nem várt káros hatásokat vált ki, akkor </w:t>
      </w:r>
      <w:r w:rsidR="00CE0A4B">
        <w:rPr>
          <w:rFonts w:cs="Helvetica-Narrow"/>
          <w:color w:val="000000"/>
          <w:szCs w:val="23"/>
        </w:rPr>
        <w:t xml:space="preserve">felül kell vizsgálni és hasonló típusú beavatkozást, hasonló körülmények között nem szabad alkalmazni. </w:t>
      </w:r>
      <w:r w:rsidR="00F34D52">
        <w:rPr>
          <w:rFonts w:cs="Helvetica-Narrow"/>
          <w:color w:val="000000"/>
          <w:szCs w:val="23"/>
        </w:rPr>
        <w:t>A monitoringot a beavatkozás előtti alapállapot felmérésé</w:t>
      </w:r>
      <w:r w:rsidR="00CE0A4B">
        <w:rPr>
          <w:rFonts w:cs="Helvetica-Narrow"/>
          <w:color w:val="000000"/>
          <w:szCs w:val="23"/>
        </w:rPr>
        <w:t>vel kell kezdeni, hogy az esetleges negatív hatások megfigyelhetők legyenek.</w:t>
      </w:r>
    </w:p>
    <w:p w:rsidR="00CE0A4B" w:rsidRDefault="00CE0A4B" w:rsidP="002412CF">
      <w:pPr>
        <w:jc w:val="both"/>
        <w:rPr>
          <w:rFonts w:cs="Helvetica-Narrow"/>
          <w:color w:val="000000"/>
          <w:szCs w:val="23"/>
        </w:rPr>
      </w:pPr>
    </w:p>
    <w:p w:rsidR="00CE0A4B" w:rsidRDefault="00CE0A4B" w:rsidP="002412CF">
      <w:pPr>
        <w:jc w:val="both"/>
        <w:rPr>
          <w:rFonts w:cs="Helvetica-Narrow"/>
          <w:color w:val="000000"/>
          <w:szCs w:val="23"/>
        </w:rPr>
      </w:pPr>
      <w:r>
        <w:rPr>
          <w:rFonts w:cs="Helvetica-Narrow"/>
          <w:color w:val="000000"/>
          <w:szCs w:val="23"/>
        </w:rPr>
        <w:t>2</w:t>
      </w:r>
      <w:r w:rsidR="00A73D60">
        <w:rPr>
          <w:rFonts w:cs="Helvetica-Narrow"/>
          <w:color w:val="000000"/>
          <w:szCs w:val="23"/>
        </w:rPr>
        <w:t>0</w:t>
      </w:r>
      <w:r>
        <w:rPr>
          <w:rFonts w:cs="Helvetica-Narrow"/>
          <w:color w:val="000000"/>
          <w:szCs w:val="23"/>
        </w:rPr>
        <w:t>. Mindkét SKV felhívja a figyelmet a kiegészítő intézkedések szükségességére (például: kikötőfejlesztés, kapcsolódó infrastruktúra, előrejelző rendszerek</w:t>
      </w:r>
      <w:r w:rsidR="00E368EF">
        <w:rPr>
          <w:rFonts w:cs="Helvetica-Narrow"/>
          <w:color w:val="000000"/>
          <w:szCs w:val="23"/>
        </w:rPr>
        <w:t xml:space="preserve">, </w:t>
      </w:r>
      <w:r w:rsidR="00E368EF" w:rsidRPr="00E368EF">
        <w:rPr>
          <w:bCs/>
          <w:color w:val="000000"/>
        </w:rPr>
        <w:t>a hajókon keletkező hulladék és szennyező anyagok fogadására és kezelésére alkalmas ún. zöld terminálok létesítése és fejlesztése a kikötőkben</w:t>
      </w:r>
      <w:r w:rsidR="00E368EF">
        <w:rPr>
          <w:bCs/>
          <w:color w:val="000000"/>
        </w:rPr>
        <w:t>,</w:t>
      </w:r>
      <w:r>
        <w:rPr>
          <w:rFonts w:cs="Helvetica-Narrow"/>
          <w:color w:val="000000"/>
          <w:szCs w:val="23"/>
        </w:rPr>
        <w:t xml:space="preserve"> stb). Ezeket a javaslatokat össze kell hangolni</w:t>
      </w:r>
      <w:r w:rsidR="00DA5340">
        <w:rPr>
          <w:rFonts w:cs="Helvetica-Narrow"/>
          <w:color w:val="000000"/>
          <w:szCs w:val="23"/>
        </w:rPr>
        <w:t xml:space="preserve"> </w:t>
      </w:r>
      <w:r w:rsidR="00DA5340" w:rsidRPr="00DA5340">
        <w:rPr>
          <w:rFonts w:cs="Helvetica-Narrow"/>
          <w:color w:val="000000"/>
          <w:szCs w:val="23"/>
        </w:rPr>
        <w:t>és – az SKV javaslatok figyelembevételével – a lehető legkisebb környezeti és ökológiai terhelésre kell tervezni.</w:t>
      </w:r>
      <w:r>
        <w:rPr>
          <w:rFonts w:cs="Helvetica-Narrow"/>
          <w:color w:val="000000"/>
          <w:szCs w:val="23"/>
        </w:rPr>
        <w:t xml:space="preserve"> </w:t>
      </w:r>
    </w:p>
    <w:p w:rsidR="00F34D52" w:rsidRDefault="00F34D52" w:rsidP="002412CF">
      <w:pPr>
        <w:jc w:val="both"/>
        <w:rPr>
          <w:rFonts w:cs="Helvetica-Narrow"/>
          <w:color w:val="000000"/>
          <w:szCs w:val="23"/>
        </w:rPr>
      </w:pPr>
    </w:p>
    <w:p w:rsidR="007968A2" w:rsidRPr="007968A2" w:rsidRDefault="007968A2" w:rsidP="002412CF">
      <w:pPr>
        <w:jc w:val="both"/>
        <w:rPr>
          <w:rFonts w:ascii="Times New Roman félkövér" w:hAnsi="Times New Roman félkövér"/>
          <w:b/>
        </w:rPr>
      </w:pPr>
      <w:r w:rsidRPr="007968A2">
        <w:rPr>
          <w:rFonts w:ascii="Times New Roman félkövér" w:hAnsi="Times New Roman félkövér"/>
          <w:b/>
        </w:rPr>
        <w:t>Összefoglaló vélemény</w:t>
      </w:r>
    </w:p>
    <w:p w:rsidR="007968A2" w:rsidRDefault="007968A2" w:rsidP="002412CF">
      <w:pPr>
        <w:jc w:val="both"/>
      </w:pPr>
    </w:p>
    <w:p w:rsidR="007422C7" w:rsidRDefault="00A73D60" w:rsidP="002412CF">
      <w:pPr>
        <w:jc w:val="both"/>
      </w:pPr>
      <w:r>
        <w:t>21.</w:t>
      </w:r>
      <w:r w:rsidR="007968A2">
        <w:t xml:space="preserve"> </w:t>
      </w:r>
      <w:r w:rsidR="00D47D4F">
        <w:t>Az OKT az előbbiekben említett feltételekkel mindkét hazai szakaszra vonatkozó SKV-t alkalmasnak tartja a további tervezés alapjá</w:t>
      </w:r>
      <w:r w:rsidR="00CE0A4B">
        <w:t>ul</w:t>
      </w:r>
      <w:r w:rsidR="00D47D4F">
        <w:t>.</w:t>
      </w:r>
      <w:r w:rsidR="006D264A">
        <w:t xml:space="preserve"> Az OKT felhívja a figyelmet arra, hogy a </w:t>
      </w:r>
      <w:r w:rsidR="00DF0D3C">
        <w:t xml:space="preserve">stratégiai környezeti vizsgálatok eredményeként készülő </w:t>
      </w:r>
      <w:r w:rsidR="006D264A">
        <w:t>Környezeti Jelentések</w:t>
      </w:r>
      <w:r w:rsidR="00DF0D3C">
        <w:t xml:space="preserve"> kidolgozásakor figyelembe kell venni az OKT állásfoglalásában megfogalmazott ajánlásokat. </w:t>
      </w:r>
    </w:p>
    <w:p w:rsidR="00D47D4F" w:rsidRDefault="00D47D4F" w:rsidP="002412CF">
      <w:pPr>
        <w:jc w:val="both"/>
      </w:pPr>
    </w:p>
    <w:p w:rsidR="00B53EA6" w:rsidRDefault="00A73D60" w:rsidP="002412CF">
      <w:pPr>
        <w:jc w:val="both"/>
      </w:pPr>
      <w:smartTag w:uri="urn:schemas-microsoft-com:office:smarttags" w:element="metricconverter">
        <w:smartTagPr>
          <w:attr w:name="ProductID" w:val="22. A"/>
        </w:smartTagPr>
        <w:r>
          <w:t>22.</w:t>
        </w:r>
        <w:r w:rsidR="007968A2">
          <w:t xml:space="preserve"> </w:t>
        </w:r>
        <w:r w:rsidR="00B53EA6">
          <w:t>A</w:t>
        </w:r>
      </w:smartTag>
      <w:r w:rsidR="007968A2">
        <w:t xml:space="preserve"> hajóút paramétereinek megjavítása az EU közlekedéspolitikájának fontos eleme, a Duna hajózható hossza mentén minden ország foglalkozik a feladat megoldásával</w:t>
      </w:r>
      <w:r w:rsidR="00CE0A4B">
        <w:t>,</w:t>
      </w:r>
      <w:r w:rsidR="007968A2">
        <w:t xml:space="preserve"> </w:t>
      </w:r>
      <w:r w:rsidR="00B53EA6">
        <w:t xml:space="preserve">a témakör valószínűleg az Európai Duna Stratégiában is a magas prioritású akciók között fog szerepelni, </w:t>
      </w:r>
      <w:r w:rsidR="007968A2">
        <w:t xml:space="preserve">ugyanakkor jelentős </w:t>
      </w:r>
      <w:r w:rsidR="00B53EA6">
        <w:t xml:space="preserve">a környezeti </w:t>
      </w:r>
      <w:r w:rsidR="007968A2">
        <w:t>kockázat is</w:t>
      </w:r>
      <w:r w:rsidR="00B53EA6">
        <w:t>. Ezért</w:t>
      </w:r>
      <w:r w:rsidR="007968A2">
        <w:t xml:space="preserve"> az OKT folyamatosan figyelemmel kívánja kísérni </w:t>
      </w:r>
      <w:r w:rsidR="00B53EA6">
        <w:t>a hajóút fejlesztésének és a kapcsolódó ökológiai rehabilitációs és egyéb célokat szolgáló fejlesztéseknek a folyamatát, és segíteni kívánja a konfliktusok megoldását</w:t>
      </w:r>
      <w:r w:rsidR="00CE0A4B">
        <w:t>, valamint a fenntarthatóság alapelveinek érvényesítését</w:t>
      </w:r>
      <w:r w:rsidR="00B53EA6">
        <w:t>.</w:t>
      </w:r>
    </w:p>
    <w:p w:rsidR="00A73D60" w:rsidRDefault="00B53EA6" w:rsidP="002412CF">
      <w:pPr>
        <w:jc w:val="both"/>
      </w:pPr>
      <w:r>
        <w:t xml:space="preserve"> </w:t>
      </w:r>
    </w:p>
    <w:p w:rsidR="00A73D60" w:rsidRDefault="00A73D60" w:rsidP="002412CF">
      <w:pPr>
        <w:jc w:val="both"/>
      </w:pPr>
    </w:p>
    <w:p w:rsidR="00AB76DF" w:rsidRDefault="00A73D60" w:rsidP="002412CF">
      <w:pPr>
        <w:jc w:val="both"/>
      </w:pPr>
      <w:r>
        <w:t>Melléklet: Az OKT 2009. november 16-án keltezett állásfoglalása</w:t>
      </w:r>
      <w:r w:rsidR="007968A2">
        <w:t xml:space="preserve"> </w:t>
      </w:r>
    </w:p>
    <w:sectPr w:rsidR="00AB76D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7DB" w:rsidRDefault="008B57DB">
      <w:r>
        <w:separator/>
      </w:r>
    </w:p>
  </w:endnote>
  <w:endnote w:type="continuationSeparator" w:id="0">
    <w:p w:rsidR="008B57DB" w:rsidRDefault="008B5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+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B" w:rsidRDefault="005F362B" w:rsidP="00990F7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F362B" w:rsidRDefault="005F362B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362B" w:rsidRDefault="005F362B" w:rsidP="00990F74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6046">
      <w:rPr>
        <w:rStyle w:val="Oldalszm"/>
        <w:noProof/>
      </w:rPr>
      <w:t>1</w:t>
    </w:r>
    <w:r>
      <w:rPr>
        <w:rStyle w:val="Oldalszm"/>
      </w:rPr>
      <w:fldChar w:fldCharType="end"/>
    </w:r>
  </w:p>
  <w:p w:rsidR="005F362B" w:rsidRDefault="005F362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7DB" w:rsidRDefault="008B57DB">
      <w:r>
        <w:separator/>
      </w:r>
    </w:p>
  </w:footnote>
  <w:footnote w:type="continuationSeparator" w:id="0">
    <w:p w:rsidR="008B57DB" w:rsidRDefault="008B5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671A7"/>
    <w:multiLevelType w:val="hybridMultilevel"/>
    <w:tmpl w:val="A7642D6E"/>
    <w:lvl w:ilvl="0" w:tplc="040E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4D9605E"/>
    <w:multiLevelType w:val="hybridMultilevel"/>
    <w:tmpl w:val="669836FA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3480573"/>
    <w:multiLevelType w:val="hybridMultilevel"/>
    <w:tmpl w:val="83DE4FA0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B444799"/>
    <w:multiLevelType w:val="hybridMultilevel"/>
    <w:tmpl w:val="E444887A"/>
    <w:lvl w:ilvl="0" w:tplc="040E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7E137ED0"/>
    <w:multiLevelType w:val="hybridMultilevel"/>
    <w:tmpl w:val="69626EB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12A"/>
    <w:rsid w:val="00006324"/>
    <w:rsid w:val="0001559D"/>
    <w:rsid w:val="0005055B"/>
    <w:rsid w:val="0005691A"/>
    <w:rsid w:val="0006599A"/>
    <w:rsid w:val="000C2AD4"/>
    <w:rsid w:val="000C6F2D"/>
    <w:rsid w:val="00100657"/>
    <w:rsid w:val="00134123"/>
    <w:rsid w:val="00144725"/>
    <w:rsid w:val="00182CC1"/>
    <w:rsid w:val="001E2A54"/>
    <w:rsid w:val="001E2F91"/>
    <w:rsid w:val="001F30AF"/>
    <w:rsid w:val="002412CF"/>
    <w:rsid w:val="003F082B"/>
    <w:rsid w:val="00425B26"/>
    <w:rsid w:val="00436490"/>
    <w:rsid w:val="004C24C8"/>
    <w:rsid w:val="004C4B70"/>
    <w:rsid w:val="00523DBC"/>
    <w:rsid w:val="005F12E9"/>
    <w:rsid w:val="005F362B"/>
    <w:rsid w:val="00640871"/>
    <w:rsid w:val="006745F9"/>
    <w:rsid w:val="0068670E"/>
    <w:rsid w:val="006A3F64"/>
    <w:rsid w:val="006D264A"/>
    <w:rsid w:val="006F1A43"/>
    <w:rsid w:val="007339EC"/>
    <w:rsid w:val="007422C7"/>
    <w:rsid w:val="00750E7F"/>
    <w:rsid w:val="00782482"/>
    <w:rsid w:val="00783288"/>
    <w:rsid w:val="007968A2"/>
    <w:rsid w:val="007F71C1"/>
    <w:rsid w:val="008005A4"/>
    <w:rsid w:val="00832361"/>
    <w:rsid w:val="008573F8"/>
    <w:rsid w:val="008A512A"/>
    <w:rsid w:val="008B57DB"/>
    <w:rsid w:val="00990F74"/>
    <w:rsid w:val="009D761D"/>
    <w:rsid w:val="00A52051"/>
    <w:rsid w:val="00A71068"/>
    <w:rsid w:val="00A73D60"/>
    <w:rsid w:val="00A96129"/>
    <w:rsid w:val="00AB76DF"/>
    <w:rsid w:val="00B53EA6"/>
    <w:rsid w:val="00B75C55"/>
    <w:rsid w:val="00B85726"/>
    <w:rsid w:val="00BC24E3"/>
    <w:rsid w:val="00C10B18"/>
    <w:rsid w:val="00C2425B"/>
    <w:rsid w:val="00C46C9A"/>
    <w:rsid w:val="00C86606"/>
    <w:rsid w:val="00CC3482"/>
    <w:rsid w:val="00CC60C5"/>
    <w:rsid w:val="00CD6B0C"/>
    <w:rsid w:val="00CE0A4B"/>
    <w:rsid w:val="00D26046"/>
    <w:rsid w:val="00D336C8"/>
    <w:rsid w:val="00D47D4F"/>
    <w:rsid w:val="00DA5340"/>
    <w:rsid w:val="00DA5ACD"/>
    <w:rsid w:val="00DE7F09"/>
    <w:rsid w:val="00DF0D3C"/>
    <w:rsid w:val="00E14A12"/>
    <w:rsid w:val="00E368EF"/>
    <w:rsid w:val="00E52A96"/>
    <w:rsid w:val="00E9147F"/>
    <w:rsid w:val="00ED6E60"/>
    <w:rsid w:val="00F34D52"/>
    <w:rsid w:val="00F36B8E"/>
    <w:rsid w:val="00FE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65A601-C9AE-4AE6-8891-8A599A652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Buborkszveg">
    <w:name w:val="Balloon Text"/>
    <w:basedOn w:val="Norml"/>
    <w:semiHidden/>
    <w:rsid w:val="004C24C8"/>
    <w:rPr>
      <w:rFonts w:ascii="Tahoma" w:hAnsi="Tahoma" w:cs="Tahoma"/>
      <w:sz w:val="16"/>
      <w:szCs w:val="16"/>
    </w:rPr>
  </w:style>
  <w:style w:type="paragraph" w:styleId="Lbjegyzetszveg">
    <w:name w:val="footnote text"/>
    <w:basedOn w:val="Norml"/>
    <w:semiHidden/>
    <w:rsid w:val="0005055B"/>
    <w:rPr>
      <w:sz w:val="20"/>
      <w:szCs w:val="20"/>
    </w:rPr>
  </w:style>
  <w:style w:type="character" w:styleId="Lbjegyzet-hivatkozs">
    <w:name w:val="footnote reference"/>
    <w:semiHidden/>
    <w:rsid w:val="0005055B"/>
    <w:rPr>
      <w:vertAlign w:val="superscript"/>
    </w:rPr>
  </w:style>
  <w:style w:type="paragraph" w:styleId="llb">
    <w:name w:val="footer"/>
    <w:basedOn w:val="Norml"/>
    <w:rsid w:val="001F30A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1F30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35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2022</Words>
  <Characters>13954</Characters>
  <Application>Microsoft Office Word</Application>
  <DocSecurity>0</DocSecurity>
  <Lines>116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hazai Duna szakaszon a hajózhatóság feltételeinek javítására tervezett beavatkozások Stratégiai Környezeti Vizsgálata </vt:lpstr>
    </vt:vector>
  </TitlesOfParts>
  <Company>KD</Company>
  <LinksUpToDate>false</LinksUpToDate>
  <CharactersWithSpaces>15945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hazai Duna szakaszon a hajózhatóság feltételeinek javítására tervezett beavatkozások Stratégiai Környezeti Vizsgálata</dc:title>
  <dc:subject/>
  <dc:creator>IjjasIstván</dc:creator>
  <cp:keywords/>
  <cp:lastModifiedBy>Andras</cp:lastModifiedBy>
  <cp:revision>2</cp:revision>
  <cp:lastPrinted>2010-01-14T08:51:00Z</cp:lastPrinted>
  <dcterms:created xsi:type="dcterms:W3CDTF">2020-12-26T18:24:00Z</dcterms:created>
  <dcterms:modified xsi:type="dcterms:W3CDTF">2020-12-26T18:24:00Z</dcterms:modified>
</cp:coreProperties>
</file>