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DD" w:rsidRPr="008B73DD" w:rsidRDefault="008B73DD" w:rsidP="008B73DD">
      <w:pPr>
        <w:tabs>
          <w:tab w:val="num" w:pos="720"/>
        </w:tabs>
        <w:jc w:val="center"/>
        <w:rPr>
          <w:b/>
          <w:bCs/>
          <w:color w:val="000000"/>
          <w:sz w:val="28"/>
          <w:szCs w:val="28"/>
        </w:rPr>
      </w:pPr>
      <w:r w:rsidRPr="008B73DD">
        <w:rPr>
          <w:b/>
          <w:bCs/>
          <w:color w:val="000000"/>
          <w:sz w:val="28"/>
          <w:szCs w:val="28"/>
        </w:rPr>
        <w:t xml:space="preserve">Az </w:t>
      </w:r>
      <w:r w:rsidRPr="006F3B85">
        <w:rPr>
          <w:b/>
          <w:bCs/>
          <w:color w:val="000000"/>
          <w:sz w:val="28"/>
          <w:szCs w:val="28"/>
        </w:rPr>
        <w:t>Országos Környezetvédelmi Tanács</w:t>
      </w:r>
      <w:r w:rsidRPr="008B73DD">
        <w:rPr>
          <w:b/>
          <w:bCs/>
          <w:color w:val="000000"/>
          <w:sz w:val="28"/>
          <w:szCs w:val="28"/>
        </w:rPr>
        <w:t xml:space="preserve"> véleménye</w:t>
      </w:r>
    </w:p>
    <w:p w:rsidR="006F3B85" w:rsidRPr="008B73DD" w:rsidRDefault="008B73DD" w:rsidP="008B73DD">
      <w:pPr>
        <w:tabs>
          <w:tab w:val="num" w:pos="720"/>
        </w:tabs>
        <w:jc w:val="center"/>
        <w:rPr>
          <w:b/>
          <w:bCs/>
          <w:color w:val="000000"/>
          <w:sz w:val="28"/>
          <w:szCs w:val="28"/>
        </w:rPr>
      </w:pPr>
      <w:proofErr w:type="gramStart"/>
      <w:r w:rsidRPr="008B73DD">
        <w:rPr>
          <w:b/>
          <w:bCs/>
          <w:color w:val="000000"/>
          <w:sz w:val="28"/>
          <w:szCs w:val="28"/>
        </w:rPr>
        <w:t>a</w:t>
      </w:r>
      <w:proofErr w:type="gramEnd"/>
      <w:r w:rsidRPr="008B73DD">
        <w:rPr>
          <w:b/>
          <w:bCs/>
          <w:color w:val="000000"/>
          <w:sz w:val="28"/>
          <w:szCs w:val="28"/>
        </w:rPr>
        <w:t xml:space="preserve"> „Második Nemzeti </w:t>
      </w:r>
      <w:proofErr w:type="spellStart"/>
      <w:r w:rsidRPr="008B73DD">
        <w:rPr>
          <w:b/>
          <w:bCs/>
          <w:color w:val="000000"/>
          <w:sz w:val="28"/>
          <w:szCs w:val="28"/>
        </w:rPr>
        <w:t>Éghajlatváltozási</w:t>
      </w:r>
      <w:proofErr w:type="spellEnd"/>
      <w:r w:rsidRPr="008B73DD">
        <w:rPr>
          <w:b/>
          <w:bCs/>
          <w:color w:val="000000"/>
          <w:sz w:val="28"/>
          <w:szCs w:val="28"/>
        </w:rPr>
        <w:t xml:space="preserve"> Stratégia 2014-2025 kitekintéssel 2050-re” c. szakpolitikai vitaanyagról</w:t>
      </w:r>
    </w:p>
    <w:p w:rsidR="006F3B85" w:rsidRPr="008B73DD" w:rsidRDefault="006F3B85" w:rsidP="008B73DD">
      <w:pPr>
        <w:tabs>
          <w:tab w:val="num" w:pos="720"/>
        </w:tabs>
        <w:jc w:val="both"/>
      </w:pP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Tanács áttekintette a dokumentumot és az alábbi általános megállapításokat tartja fontosnak írásba foglalni: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7B7926">
        <w:rPr>
          <w:rFonts w:eastAsia="Calibri"/>
          <w:b/>
          <w:bCs/>
          <w:lang w:eastAsia="en-US"/>
        </w:rPr>
        <w:t>Általános megállapítások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 xml:space="preserve">A NÉS-2 közreadott változata megítélésünk szerint mind színvonalában, mind tartalmában meghaladja az elődjét és kellő súllyal tárgyalja nemcsak a kibocsátás-csökkentés, hanem az alkalmazkodás ügyét, valamint az e kettőhöz szervesen kapcsolódó további tématerületeket. Megfelelő részletességgel elemzi az első </w:t>
      </w:r>
      <w:proofErr w:type="spellStart"/>
      <w:r w:rsidRPr="007B7926">
        <w:rPr>
          <w:rFonts w:eastAsia="Calibri"/>
          <w:lang w:eastAsia="en-US"/>
        </w:rPr>
        <w:t>éghajlatváltoz</w:t>
      </w:r>
      <w:bookmarkStart w:id="0" w:name="_GoBack"/>
      <w:bookmarkEnd w:id="0"/>
      <w:r w:rsidRPr="007B7926">
        <w:rPr>
          <w:rFonts w:eastAsia="Calibri"/>
          <w:lang w:eastAsia="en-US"/>
        </w:rPr>
        <w:t>ási</w:t>
      </w:r>
      <w:proofErr w:type="spellEnd"/>
      <w:r w:rsidRPr="007B7926">
        <w:rPr>
          <w:rFonts w:eastAsia="Calibri"/>
          <w:lang w:eastAsia="en-US"/>
        </w:rPr>
        <w:t xml:space="preserve"> stratégiát és azzal összefüggésbe hozható fejleményeket, azokra az új célok megfogalmazásában kritikusan támaszkodik.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 xml:space="preserve">Kiemelendő, hogy ebben a stratégia-változatban a klímaváltozáshoz és annak hatásaihoz való alkalmazkodással összefüggő kérdések, célok és teendők legalább akkora súlyt kaptak, mint a </w:t>
      </w:r>
      <w:proofErr w:type="spellStart"/>
      <w:r w:rsidRPr="007B7926">
        <w:rPr>
          <w:rFonts w:eastAsia="Calibri"/>
          <w:lang w:eastAsia="en-US"/>
        </w:rPr>
        <w:t>kibocsátás-csökentés</w:t>
      </w:r>
      <w:proofErr w:type="spellEnd"/>
      <w:r w:rsidRPr="007B7926">
        <w:rPr>
          <w:rFonts w:eastAsia="Calibri"/>
          <w:lang w:eastAsia="en-US"/>
        </w:rPr>
        <w:t xml:space="preserve">. Ez különösen lényeges azért, mert a hatások és tendenciák már ma is jól érzékelhetők, míg azok kiváltó okaival kapcsolatban a tudományos közvélemény sem mondható teljesen egységesnek. Nagyon valószínű, hogy az üvegházhatású gázok kibocsátásának csökkentése megakadályozza, vagy legalábbis mérsékli a klímaváltozás következményeit, de </w:t>
      </w:r>
      <w:proofErr w:type="gramStart"/>
      <w:r w:rsidRPr="007B7926">
        <w:rPr>
          <w:rFonts w:eastAsia="Calibri"/>
          <w:lang w:eastAsia="en-US"/>
        </w:rPr>
        <w:t>ezen</w:t>
      </w:r>
      <w:proofErr w:type="gramEnd"/>
      <w:r w:rsidRPr="007B7926">
        <w:rPr>
          <w:rFonts w:eastAsia="Calibri"/>
          <w:lang w:eastAsia="en-US"/>
        </w:rPr>
        <w:t xml:space="preserve"> hatásokhoz való lehetséges mértékű alkalmazkodás az emberiség elemi kötelezettsége. Ugyanakkor a kibocsátások csökkentése egyidejűleg a hagyományos elsődleges (fosszilis, primer) energiahordozókkal való takarékoskodást is magában foglalja, ami éppúgy globális érdek.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Tanács javasolja, hogy a NÉS határozottan fogalmazza meg Magyarország elkötelezettségét az alkalmazkodás fontossága mellett és kíséreljen meg vezető szerepet játszani az ezzel összefüggő témákban (vízminőség-védelem, ivóvíz-ellátás pl.).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 xml:space="preserve">A Tanács üdvözli, hogy a NÉS-2 a hazai </w:t>
      </w:r>
      <w:proofErr w:type="spellStart"/>
      <w:r w:rsidRPr="007B7926">
        <w:rPr>
          <w:rFonts w:eastAsia="Calibri"/>
          <w:lang w:eastAsia="en-US"/>
        </w:rPr>
        <w:t>dekarbonizációs</w:t>
      </w:r>
      <w:proofErr w:type="spellEnd"/>
      <w:r w:rsidRPr="007B7926">
        <w:rPr>
          <w:rFonts w:eastAsia="Calibri"/>
          <w:lang w:eastAsia="en-US"/>
        </w:rPr>
        <w:t xml:space="preserve"> útiterv (HDÚ) megalkotásával Magyarország elkötelezettségén kívül a </w:t>
      </w:r>
      <w:proofErr w:type="spellStart"/>
      <w:r w:rsidRPr="007B7926">
        <w:rPr>
          <w:rFonts w:eastAsia="Calibri"/>
          <w:lang w:eastAsia="en-US"/>
        </w:rPr>
        <w:t>proaktivitását</w:t>
      </w:r>
      <w:proofErr w:type="spellEnd"/>
      <w:r w:rsidRPr="007B7926">
        <w:rPr>
          <w:rFonts w:eastAsia="Calibri"/>
          <w:lang w:eastAsia="en-US"/>
        </w:rPr>
        <w:t xml:space="preserve"> is kifejezésre juttatja a stratégiában.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Kifejezetten szükségesnek tartjuk, hogy a NÉS-2 végső formájában, de legkésőbb a stratégia végrehajtására vonatkozó javaslatokat tartalmazó dokumentumokban a döntéshozatal előtt – részletesen bemutassa, elemezze a kitűzött célok irányába ható intézkedések, beavatkozások várható eredményességét, hatékonyságát (indikátorok).</w:t>
      </w:r>
    </w:p>
    <w:p w:rsidR="007B7926" w:rsidRPr="007B7926" w:rsidRDefault="007B7926" w:rsidP="008B73DD">
      <w:pPr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Tanács egyetért abban, hogy a kibocsátás-csökkentés területén Magyarország a reálisan felmért és értékelt lehetőségeihez igazodva, az EU-tagságunkkal járó kötelezettségeink mértékéig járuljon hozzá a közös célok végrehajtásához és használja ki a piaci mechanizmusok által nyújtott lehetőségeket.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lastRenderedPageBreak/>
        <w:t>A Tanács megfontolásra javasolja, hogy a NÉS-2 véglegesítésével várják meg az EU 2030-ig kitekintő, a klíma- és energiapolitikára vonatkozó konszenzusos javaslatait, hogy ezek beépülhessenek a rövid és középtávú programokba.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Tanács megállapítja, hogy a szakpolitikai vitaanyag, jól megalapozott, megfelelően szerkesztett, arányos, maximális részletességre törekevő dokumentum. Ez utóbbi jellemzője – bár elismerésre méltó – nem feltétlenül előnyös a társadalmi vita eredményessége szempontjából, amennyiben hiányzik egy lényegesen célratörőbb, rövidebb terjedelmű, közérthető összefoglaló, amely tömören összefoglalja a stratégia helyét, prioritásait, céljait és várható eredményeit.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Tanács megelégedésére szolgál az a – plenáris ülésen elhangzott – tájékoztatás, amely szerint a NÉS-2-höz stratégiai környezeti vizsgálat és gazdasági hatásvizsgálat is készül, illetve készült. A testület a későbbiekben ezek ismeretében is értékelni kívánja az új éghajlatvédelmi stratégia tervezetét.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7B7926">
        <w:rPr>
          <w:rFonts w:eastAsia="Calibri"/>
          <w:b/>
          <w:bCs/>
          <w:lang w:eastAsia="en-US"/>
        </w:rPr>
        <w:t>Részletes megállapítások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22. oldalon a 10. ábra címe helytelen (az ábra nemcsak az energiaszektor kibocsátásait mutatja be).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27. oldalon javasoljuk az erdősültség jelenlegi számszerű mértékét is megadni a célérték mellett.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31. oldalon a 4. táblázatban szereplő adatok helyességét javasoljuk ellenőrizni, miután az elért szén-dioxid kibocsátás-csökkentés túlságosan csekélynek tűnik.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támogatások hatékonysága nem ítélhető meg a támogatott projektek száma alapján (32. oldal). A mellett, hogy roppant értékesnek tartjuk a korábbi években elvégzett támogatások és fejlesztések értékelését, jobb lenne olyan indikátorokat e célra használni, amelyek financiális, és/vagy naturális mutatókkal számszerűsítik az eredményességet.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II.3.4 fejezetben (40. oldal) az első francia bekezdésben írott mondat megítélésünk szerint a szerzők szándékával éppen ellentétes jelentésű.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Az említett (152. oldal) „elkülönített állami pénzalap” létrehozása során a felsorolt tevékenységi területek között célszerű lenne elsőbbségi sorrendet meghatározni.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>A IV.4.2 fejezetben foglalt megállapítások szakmailag kellőképpen pontosak, miközben – sajnálatosan – a III.5.6 fejezetben (Mezőgazdaság) egyoldalúan a környezetvédelmi szempontok kapnak hangsúlyt. Kifogásoljuk a műtrágyahasználat csökkentésének kritikátlan igényét annak tudatában, hogy az ésszerű műtrágyázás nem jelent veszélyt a környezetre.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 xml:space="preserve">A IV.3.2 fejezetben a „talajtípusok” helyett szakmai megfontolások alapján a „talajféleségek” kifejezés használatát javasoljuk. Ugyanitt helytelennek ítéljük azt a megállapítást, amely </w:t>
      </w:r>
      <w:r w:rsidRPr="007B7926">
        <w:rPr>
          <w:rFonts w:eastAsia="Calibri"/>
          <w:lang w:eastAsia="en-US"/>
        </w:rPr>
        <w:lastRenderedPageBreak/>
        <w:t xml:space="preserve">szerint </w:t>
      </w:r>
      <w:r w:rsidRPr="007B7926">
        <w:rPr>
          <w:rFonts w:eastAsia="Calibri"/>
          <w:i/>
          <w:iCs/>
          <w:lang w:eastAsia="en-US"/>
        </w:rPr>
        <w:t>„</w:t>
      </w:r>
      <w:proofErr w:type="gramStart"/>
      <w:r w:rsidRPr="007B7926">
        <w:rPr>
          <w:rFonts w:eastAsia="Calibri"/>
          <w:i/>
          <w:iCs/>
          <w:lang w:eastAsia="en-US"/>
        </w:rPr>
        <w:t>…a</w:t>
      </w:r>
      <w:proofErr w:type="gramEnd"/>
      <w:r w:rsidRPr="007B7926">
        <w:rPr>
          <w:rFonts w:eastAsia="Calibri"/>
          <w:i/>
          <w:iCs/>
          <w:lang w:eastAsia="en-US"/>
        </w:rPr>
        <w:t xml:space="preserve"> talajművelés növelheti az erózió veszélyét, a vízgazdálkodási beavatkozások okozhatják a talajok szikesedését. Túlzott vízbőséget eredményeznek vagy okozhatnak kiszáradást is.”</w:t>
      </w:r>
      <w:r w:rsidRPr="007B7926">
        <w:rPr>
          <w:rFonts w:eastAsia="Calibri"/>
          <w:lang w:eastAsia="en-US"/>
        </w:rPr>
        <w:t xml:space="preserve"> Az említett káros hatások a </w:t>
      </w:r>
      <w:r w:rsidRPr="007B7926">
        <w:rPr>
          <w:rFonts w:eastAsia="Calibri"/>
          <w:u w:val="single"/>
          <w:lang w:eastAsia="en-US"/>
        </w:rPr>
        <w:t>nem megfelelő</w:t>
      </w:r>
      <w:r w:rsidRPr="007B7926">
        <w:rPr>
          <w:rFonts w:eastAsia="Calibri"/>
          <w:lang w:eastAsia="en-US"/>
        </w:rPr>
        <w:t xml:space="preserve"> talajművelés következményei lehetnek, nem a talajműveléséi általában.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lang w:eastAsia="en-US"/>
        </w:rPr>
        <w:t xml:space="preserve">A III.4 fejezetben megfontolandónak tartjuk egy olyan közlekedési forgatókönyv végiggondolását is, amely nem kezeli axiómaként a mobilitás növekedését. </w:t>
      </w:r>
      <w:r w:rsidRPr="007B7926">
        <w:rPr>
          <w:rFonts w:eastAsia="Calibri"/>
          <w:color w:val="00B050"/>
          <w:lang w:eastAsia="en-US"/>
        </w:rPr>
        <w:t xml:space="preserve">A mobilitási igények ugyanis nem öncélúak, hanem valamilyen szükséglet kielégítését szolgálják. </w:t>
      </w:r>
    </w:p>
    <w:p w:rsidR="007B7926" w:rsidRPr="007B7926" w:rsidRDefault="007B7926" w:rsidP="008B73DD">
      <w:pPr>
        <w:tabs>
          <w:tab w:val="left" w:pos="3979"/>
        </w:tabs>
        <w:spacing w:after="160" w:line="259" w:lineRule="auto"/>
        <w:jc w:val="both"/>
        <w:rPr>
          <w:rFonts w:eastAsia="Calibri"/>
          <w:lang w:eastAsia="en-US"/>
        </w:rPr>
      </w:pPr>
      <w:r w:rsidRPr="007B7926">
        <w:rPr>
          <w:rFonts w:eastAsia="Calibri"/>
          <w:color w:val="00B050"/>
          <w:lang w:eastAsia="en-US"/>
        </w:rPr>
        <w:t>Megfontolandónak tartjuk továbbá, hogy nem csak az ágazati forgatókönyvekből kiindulva lehetne levezetni a stratégiát, hanem fordítva, vagyis „Az alacsony szén-dioxid-kibocsátású, versenyképes gazdaság 2050-ig történő megvalósításának ütemterve”</w:t>
      </w:r>
      <w:proofErr w:type="spellStart"/>
      <w:r w:rsidRPr="007B7926">
        <w:rPr>
          <w:rFonts w:eastAsia="Calibri"/>
          <w:color w:val="00B050"/>
          <w:lang w:eastAsia="en-US"/>
        </w:rPr>
        <w:t>-ből</w:t>
      </w:r>
      <w:proofErr w:type="spellEnd"/>
      <w:r w:rsidRPr="007B7926">
        <w:rPr>
          <w:rFonts w:eastAsia="Calibri"/>
          <w:color w:val="00B050"/>
          <w:lang w:eastAsia="en-US"/>
        </w:rPr>
        <w:t xml:space="preserve"> kiindulva kellene indikátorokkal kvalifikált célokat megfogalmazni a közlekedési ágazat számára.</w:t>
      </w:r>
    </w:p>
    <w:p w:rsidR="00FB4B80" w:rsidRPr="008B73DD" w:rsidRDefault="007B7926" w:rsidP="008B73DD">
      <w:pPr>
        <w:spacing w:before="360"/>
        <w:jc w:val="both"/>
        <w:rPr>
          <w:color w:val="000000"/>
        </w:rPr>
      </w:pPr>
      <w:r w:rsidRPr="008B73DD">
        <w:rPr>
          <w:color w:val="000000"/>
        </w:rPr>
        <w:t>2013. november 28.</w:t>
      </w:r>
    </w:p>
    <w:sectPr w:rsidR="00FB4B80" w:rsidRPr="008B73DD" w:rsidSect="00297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4D" w:rsidRDefault="00812F4D">
      <w:r>
        <w:separator/>
      </w:r>
    </w:p>
  </w:endnote>
  <w:endnote w:type="continuationSeparator" w:id="0">
    <w:p w:rsidR="00812F4D" w:rsidRDefault="0081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OKT Titkárság: 1055 Budapest, Kossuth tér 11.</w:t>
    </w: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Postacím: 1860 Bp.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Telefon: 1- 79 51063, 1- 79 53699. Fax: 1- 79 50429.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 w:cs="Clarendon Condensed"/>
          <w:spacing w:val="40"/>
          <w:sz w:val="20"/>
          <w:szCs w:val="20"/>
        </w:rPr>
        <w:t>okttitk@vm.gov.hu</w:t>
      </w:r>
    </w:hyperlink>
  </w:p>
  <w:p w:rsidR="00FB4B80" w:rsidRPr="00D60B86" w:rsidRDefault="00FB4B80" w:rsidP="00F77403">
    <w:pPr>
      <w:pStyle w:val="llb"/>
      <w:jc w:val="center"/>
      <w:rPr>
        <w:rFonts w:ascii="Clarendon Condensed" w:hAnsi="Clarendon Condensed" w:cs="Clarendon Condensed"/>
        <w:color w:val="000000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www.oktt.hu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4D" w:rsidRDefault="00812F4D">
      <w:r>
        <w:separator/>
      </w:r>
    </w:p>
  </w:footnote>
  <w:footnote w:type="continuationSeparator" w:id="0">
    <w:p w:rsidR="00812F4D" w:rsidRDefault="0081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2E2ADE">
    <w:pPr>
      <w:pStyle w:val="lfej"/>
      <w:pBdr>
        <w:bottom w:val="dashDotStroked" w:sz="24" w:space="1" w:color="auto"/>
      </w:pBdr>
      <w:rPr>
        <w:rFonts w:ascii="Clarendon Condensed" w:hAnsi="Clarendon Condensed" w:cs="Clarendon Condensed"/>
        <w:b/>
        <w:bCs/>
        <w:sz w:val="16"/>
        <w:szCs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25pt;height:78.7pt" o:ole="">
          <v:imagedata r:id="rId1" o:title=""/>
        </v:shape>
        <o:OLEObject Type="Embed" ProgID="Msxml2.SAXXMLReader.5.0" ShapeID="_x0000_i1025" DrawAspect="Content" ObjectID="_1447162944" r:id="rId2"/>
      </w:object>
    </w:r>
  </w:p>
  <w:p w:rsidR="00FB4B80" w:rsidRDefault="00FB4B80" w:rsidP="006F3B85">
    <w:pPr>
      <w:pStyle w:val="lfej"/>
      <w:rPr>
        <w:rFonts w:ascii="Clarendon Condensed" w:hAnsi="Clarendon Condensed" w:cs="Clarendon Condense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C4D"/>
    <w:multiLevelType w:val="hybridMultilevel"/>
    <w:tmpl w:val="6302BEF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560B8"/>
    <w:multiLevelType w:val="hybridMultilevel"/>
    <w:tmpl w:val="B7502F2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6050A5"/>
    <w:multiLevelType w:val="hybridMultilevel"/>
    <w:tmpl w:val="2AF2DB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14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NotTrackMoves/>
  <w:defaultTabStop w:val="34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02C17"/>
    <w:rsid w:val="00016318"/>
    <w:rsid w:val="0003417F"/>
    <w:rsid w:val="0003565B"/>
    <w:rsid w:val="000423D6"/>
    <w:rsid w:val="00046CEE"/>
    <w:rsid w:val="000473C3"/>
    <w:rsid w:val="00052BFA"/>
    <w:rsid w:val="000700F1"/>
    <w:rsid w:val="00075591"/>
    <w:rsid w:val="000800B8"/>
    <w:rsid w:val="00080183"/>
    <w:rsid w:val="00087B09"/>
    <w:rsid w:val="00091C80"/>
    <w:rsid w:val="000928D3"/>
    <w:rsid w:val="00093EA7"/>
    <w:rsid w:val="00094C98"/>
    <w:rsid w:val="00095DA9"/>
    <w:rsid w:val="00097E7C"/>
    <w:rsid w:val="000A0179"/>
    <w:rsid w:val="000A2908"/>
    <w:rsid w:val="000A702F"/>
    <w:rsid w:val="000B13D8"/>
    <w:rsid w:val="000B6074"/>
    <w:rsid w:val="000B6387"/>
    <w:rsid w:val="000C4173"/>
    <w:rsid w:val="000C5193"/>
    <w:rsid w:val="000E2B9A"/>
    <w:rsid w:val="000E2C5B"/>
    <w:rsid w:val="000F2CC9"/>
    <w:rsid w:val="00101B16"/>
    <w:rsid w:val="00105DCE"/>
    <w:rsid w:val="00110D33"/>
    <w:rsid w:val="0012057F"/>
    <w:rsid w:val="00154D23"/>
    <w:rsid w:val="001566EE"/>
    <w:rsid w:val="0016257C"/>
    <w:rsid w:val="00172A0C"/>
    <w:rsid w:val="00176DE3"/>
    <w:rsid w:val="001813BF"/>
    <w:rsid w:val="001864A9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5373C"/>
    <w:rsid w:val="00262A06"/>
    <w:rsid w:val="002646F2"/>
    <w:rsid w:val="00275BF2"/>
    <w:rsid w:val="002834C4"/>
    <w:rsid w:val="002975FC"/>
    <w:rsid w:val="002A23C1"/>
    <w:rsid w:val="002A2934"/>
    <w:rsid w:val="002A531F"/>
    <w:rsid w:val="002D0956"/>
    <w:rsid w:val="002D3B2A"/>
    <w:rsid w:val="002E1A1D"/>
    <w:rsid w:val="002E2ADE"/>
    <w:rsid w:val="002F5B0E"/>
    <w:rsid w:val="00313049"/>
    <w:rsid w:val="00331879"/>
    <w:rsid w:val="003357FA"/>
    <w:rsid w:val="003425B7"/>
    <w:rsid w:val="0036063B"/>
    <w:rsid w:val="00360686"/>
    <w:rsid w:val="0036118E"/>
    <w:rsid w:val="0038408E"/>
    <w:rsid w:val="003B46F7"/>
    <w:rsid w:val="003B6681"/>
    <w:rsid w:val="003C2886"/>
    <w:rsid w:val="003C420B"/>
    <w:rsid w:val="003D0C63"/>
    <w:rsid w:val="003E2161"/>
    <w:rsid w:val="003E50A5"/>
    <w:rsid w:val="003E53F0"/>
    <w:rsid w:val="003E6E53"/>
    <w:rsid w:val="00401E82"/>
    <w:rsid w:val="00412313"/>
    <w:rsid w:val="00431537"/>
    <w:rsid w:val="00431BB3"/>
    <w:rsid w:val="00435207"/>
    <w:rsid w:val="0045189D"/>
    <w:rsid w:val="00464E1B"/>
    <w:rsid w:val="00467BFB"/>
    <w:rsid w:val="00472502"/>
    <w:rsid w:val="00484898"/>
    <w:rsid w:val="00484B5E"/>
    <w:rsid w:val="0049288A"/>
    <w:rsid w:val="00495240"/>
    <w:rsid w:val="00496913"/>
    <w:rsid w:val="004A2BEF"/>
    <w:rsid w:val="004C4BDF"/>
    <w:rsid w:val="004D54AF"/>
    <w:rsid w:val="004D7103"/>
    <w:rsid w:val="004E3F09"/>
    <w:rsid w:val="004E5DD2"/>
    <w:rsid w:val="004F2071"/>
    <w:rsid w:val="004F27B3"/>
    <w:rsid w:val="004F2EA4"/>
    <w:rsid w:val="004F3806"/>
    <w:rsid w:val="005027EA"/>
    <w:rsid w:val="00504958"/>
    <w:rsid w:val="005065B7"/>
    <w:rsid w:val="00520010"/>
    <w:rsid w:val="00525A56"/>
    <w:rsid w:val="00535E81"/>
    <w:rsid w:val="0056037D"/>
    <w:rsid w:val="00563552"/>
    <w:rsid w:val="00563632"/>
    <w:rsid w:val="00575C6A"/>
    <w:rsid w:val="00576441"/>
    <w:rsid w:val="00585442"/>
    <w:rsid w:val="00585762"/>
    <w:rsid w:val="00594008"/>
    <w:rsid w:val="00594B89"/>
    <w:rsid w:val="00596278"/>
    <w:rsid w:val="00597A62"/>
    <w:rsid w:val="005A38E3"/>
    <w:rsid w:val="005A4DD2"/>
    <w:rsid w:val="005B2274"/>
    <w:rsid w:val="005B3EE6"/>
    <w:rsid w:val="005C025B"/>
    <w:rsid w:val="005C73C2"/>
    <w:rsid w:val="005E3DFC"/>
    <w:rsid w:val="005F7D0C"/>
    <w:rsid w:val="00606297"/>
    <w:rsid w:val="006129F6"/>
    <w:rsid w:val="00612ADB"/>
    <w:rsid w:val="0061435B"/>
    <w:rsid w:val="006219C0"/>
    <w:rsid w:val="00632A71"/>
    <w:rsid w:val="00633451"/>
    <w:rsid w:val="006507E6"/>
    <w:rsid w:val="006728E0"/>
    <w:rsid w:val="00680EE8"/>
    <w:rsid w:val="00685A31"/>
    <w:rsid w:val="006C2959"/>
    <w:rsid w:val="006C69C8"/>
    <w:rsid w:val="006D3F92"/>
    <w:rsid w:val="006E1DDB"/>
    <w:rsid w:val="006F0027"/>
    <w:rsid w:val="006F3B85"/>
    <w:rsid w:val="006F740C"/>
    <w:rsid w:val="00702D46"/>
    <w:rsid w:val="00706A50"/>
    <w:rsid w:val="00711969"/>
    <w:rsid w:val="00714AB1"/>
    <w:rsid w:val="00716771"/>
    <w:rsid w:val="00721CE2"/>
    <w:rsid w:val="00721FC9"/>
    <w:rsid w:val="0072465B"/>
    <w:rsid w:val="0072728F"/>
    <w:rsid w:val="00736065"/>
    <w:rsid w:val="007368DB"/>
    <w:rsid w:val="00741710"/>
    <w:rsid w:val="007428D9"/>
    <w:rsid w:val="007466D4"/>
    <w:rsid w:val="00767356"/>
    <w:rsid w:val="00791EFC"/>
    <w:rsid w:val="00796B93"/>
    <w:rsid w:val="007B0C42"/>
    <w:rsid w:val="007B298D"/>
    <w:rsid w:val="007B7926"/>
    <w:rsid w:val="007D1BB9"/>
    <w:rsid w:val="007E540A"/>
    <w:rsid w:val="007E6C04"/>
    <w:rsid w:val="007F0347"/>
    <w:rsid w:val="007F0917"/>
    <w:rsid w:val="008103FA"/>
    <w:rsid w:val="00811B93"/>
    <w:rsid w:val="00812F4D"/>
    <w:rsid w:val="00823BBC"/>
    <w:rsid w:val="0082742C"/>
    <w:rsid w:val="0083251C"/>
    <w:rsid w:val="00834273"/>
    <w:rsid w:val="0083455A"/>
    <w:rsid w:val="00841FEB"/>
    <w:rsid w:val="00846191"/>
    <w:rsid w:val="008466B9"/>
    <w:rsid w:val="0084706E"/>
    <w:rsid w:val="008551B2"/>
    <w:rsid w:val="0085732B"/>
    <w:rsid w:val="0087496A"/>
    <w:rsid w:val="008858EC"/>
    <w:rsid w:val="0089278C"/>
    <w:rsid w:val="00894EE6"/>
    <w:rsid w:val="008A5AAB"/>
    <w:rsid w:val="008B07DA"/>
    <w:rsid w:val="008B4857"/>
    <w:rsid w:val="008B73DD"/>
    <w:rsid w:val="008C1705"/>
    <w:rsid w:val="008C2A24"/>
    <w:rsid w:val="008C47B5"/>
    <w:rsid w:val="008C5064"/>
    <w:rsid w:val="008E2B70"/>
    <w:rsid w:val="008E6F4E"/>
    <w:rsid w:val="008F1D7D"/>
    <w:rsid w:val="008F2D4A"/>
    <w:rsid w:val="008F3E4E"/>
    <w:rsid w:val="008F6187"/>
    <w:rsid w:val="008F6763"/>
    <w:rsid w:val="008F698E"/>
    <w:rsid w:val="0092249D"/>
    <w:rsid w:val="00936DB6"/>
    <w:rsid w:val="00936DC7"/>
    <w:rsid w:val="00941C5D"/>
    <w:rsid w:val="009429E8"/>
    <w:rsid w:val="009548E4"/>
    <w:rsid w:val="00956494"/>
    <w:rsid w:val="00960BC4"/>
    <w:rsid w:val="009769A6"/>
    <w:rsid w:val="00983CDE"/>
    <w:rsid w:val="00993AB9"/>
    <w:rsid w:val="009C7BA0"/>
    <w:rsid w:val="009E12D3"/>
    <w:rsid w:val="009E3B32"/>
    <w:rsid w:val="009E6833"/>
    <w:rsid w:val="009F16F2"/>
    <w:rsid w:val="00A00841"/>
    <w:rsid w:val="00A048D0"/>
    <w:rsid w:val="00A05553"/>
    <w:rsid w:val="00A11583"/>
    <w:rsid w:val="00A11588"/>
    <w:rsid w:val="00A120D2"/>
    <w:rsid w:val="00A162E5"/>
    <w:rsid w:val="00A35E81"/>
    <w:rsid w:val="00A4087D"/>
    <w:rsid w:val="00A531AC"/>
    <w:rsid w:val="00A6174F"/>
    <w:rsid w:val="00A63B05"/>
    <w:rsid w:val="00A76C3D"/>
    <w:rsid w:val="00A812AF"/>
    <w:rsid w:val="00A820ED"/>
    <w:rsid w:val="00A96FAA"/>
    <w:rsid w:val="00AA6125"/>
    <w:rsid w:val="00AB4E3A"/>
    <w:rsid w:val="00AB55B3"/>
    <w:rsid w:val="00AB7DD6"/>
    <w:rsid w:val="00AD63A2"/>
    <w:rsid w:val="00B02F68"/>
    <w:rsid w:val="00B05AD4"/>
    <w:rsid w:val="00B05ED6"/>
    <w:rsid w:val="00B07B46"/>
    <w:rsid w:val="00B10ECB"/>
    <w:rsid w:val="00B11A54"/>
    <w:rsid w:val="00B14818"/>
    <w:rsid w:val="00B2329D"/>
    <w:rsid w:val="00B56959"/>
    <w:rsid w:val="00B72F9E"/>
    <w:rsid w:val="00B74896"/>
    <w:rsid w:val="00BA6EDA"/>
    <w:rsid w:val="00BB22C8"/>
    <w:rsid w:val="00BB4A39"/>
    <w:rsid w:val="00BB7062"/>
    <w:rsid w:val="00BB7383"/>
    <w:rsid w:val="00BC2E1C"/>
    <w:rsid w:val="00BC5E55"/>
    <w:rsid w:val="00BD3DB2"/>
    <w:rsid w:val="00BD4865"/>
    <w:rsid w:val="00BD6578"/>
    <w:rsid w:val="00BE6548"/>
    <w:rsid w:val="00BF0BA9"/>
    <w:rsid w:val="00BF78E6"/>
    <w:rsid w:val="00C022F1"/>
    <w:rsid w:val="00C033D0"/>
    <w:rsid w:val="00C066EE"/>
    <w:rsid w:val="00C1237F"/>
    <w:rsid w:val="00C13CAE"/>
    <w:rsid w:val="00C150DA"/>
    <w:rsid w:val="00C15FDA"/>
    <w:rsid w:val="00C20F4F"/>
    <w:rsid w:val="00C2498E"/>
    <w:rsid w:val="00C36562"/>
    <w:rsid w:val="00C56CC5"/>
    <w:rsid w:val="00C61588"/>
    <w:rsid w:val="00C86F30"/>
    <w:rsid w:val="00CA1AB4"/>
    <w:rsid w:val="00CA57D4"/>
    <w:rsid w:val="00CA7B47"/>
    <w:rsid w:val="00CB2053"/>
    <w:rsid w:val="00CB3B4E"/>
    <w:rsid w:val="00CC7EB9"/>
    <w:rsid w:val="00CD0D17"/>
    <w:rsid w:val="00CE6804"/>
    <w:rsid w:val="00D01F6B"/>
    <w:rsid w:val="00D02C60"/>
    <w:rsid w:val="00D13899"/>
    <w:rsid w:val="00D21664"/>
    <w:rsid w:val="00D218C5"/>
    <w:rsid w:val="00D22E9F"/>
    <w:rsid w:val="00D24204"/>
    <w:rsid w:val="00D254C6"/>
    <w:rsid w:val="00D447FB"/>
    <w:rsid w:val="00D473EB"/>
    <w:rsid w:val="00D53B6A"/>
    <w:rsid w:val="00D60B86"/>
    <w:rsid w:val="00D61B6D"/>
    <w:rsid w:val="00D743AC"/>
    <w:rsid w:val="00D769A0"/>
    <w:rsid w:val="00D8190C"/>
    <w:rsid w:val="00D84906"/>
    <w:rsid w:val="00D96CAE"/>
    <w:rsid w:val="00DA36D8"/>
    <w:rsid w:val="00DB21C5"/>
    <w:rsid w:val="00DC2A55"/>
    <w:rsid w:val="00DC3997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3308D"/>
    <w:rsid w:val="00E47A77"/>
    <w:rsid w:val="00E47C7A"/>
    <w:rsid w:val="00E548E1"/>
    <w:rsid w:val="00E56A74"/>
    <w:rsid w:val="00E7095A"/>
    <w:rsid w:val="00E76039"/>
    <w:rsid w:val="00E77564"/>
    <w:rsid w:val="00E83ECB"/>
    <w:rsid w:val="00E84956"/>
    <w:rsid w:val="00EA035E"/>
    <w:rsid w:val="00EC3052"/>
    <w:rsid w:val="00EC4CAE"/>
    <w:rsid w:val="00ED4122"/>
    <w:rsid w:val="00ED6118"/>
    <w:rsid w:val="00EE38C9"/>
    <w:rsid w:val="00EE756B"/>
    <w:rsid w:val="00EF384C"/>
    <w:rsid w:val="00F00115"/>
    <w:rsid w:val="00F07011"/>
    <w:rsid w:val="00F15CD3"/>
    <w:rsid w:val="00F25392"/>
    <w:rsid w:val="00F2686A"/>
    <w:rsid w:val="00F320F5"/>
    <w:rsid w:val="00F35FDA"/>
    <w:rsid w:val="00F5260D"/>
    <w:rsid w:val="00F62078"/>
    <w:rsid w:val="00F67081"/>
    <w:rsid w:val="00F67797"/>
    <w:rsid w:val="00F678FB"/>
    <w:rsid w:val="00F7549D"/>
    <w:rsid w:val="00F7629D"/>
    <w:rsid w:val="00F77403"/>
    <w:rsid w:val="00F82E4C"/>
    <w:rsid w:val="00F87912"/>
    <w:rsid w:val="00F926B9"/>
    <w:rsid w:val="00F92CA6"/>
    <w:rsid w:val="00F937F6"/>
    <w:rsid w:val="00FA149D"/>
    <w:rsid w:val="00FA7218"/>
    <w:rsid w:val="00FB3E0B"/>
    <w:rsid w:val="00FB4B80"/>
    <w:rsid w:val="00FC331A"/>
    <w:rsid w:val="00FC3D54"/>
    <w:rsid w:val="00FD163D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állásfoglalás</vt:lpstr>
    </vt:vector>
  </TitlesOfParts>
  <Company>KSZF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állásfoglalás</dc:title>
  <dc:creator>OKT</dc:creator>
  <cp:lastModifiedBy>LakatosL</cp:lastModifiedBy>
  <cp:revision>3</cp:revision>
  <cp:lastPrinted>2009-05-20T08:14:00Z</cp:lastPrinted>
  <dcterms:created xsi:type="dcterms:W3CDTF">2013-11-28T15:53:00Z</dcterms:created>
  <dcterms:modified xsi:type="dcterms:W3CDTF">2013-11-28T15:56:00Z</dcterms:modified>
</cp:coreProperties>
</file>