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2E" w:rsidRPr="00062E2E" w:rsidRDefault="00751899" w:rsidP="00314CB6">
      <w:pPr>
        <w:spacing w:before="0" w:after="0" w:line="240" w:lineRule="auto"/>
        <w:ind w:left="0" w:firstLine="0"/>
      </w:pPr>
      <w:r>
        <w:t>1. s</w:t>
      </w:r>
      <w:r w:rsidR="00062E2E" w:rsidRPr="00062E2E">
        <w:t>zámú melléklet: Kötelező és teljesített hasznosítási arányok</w:t>
      </w:r>
    </w:p>
    <w:tbl>
      <w:tblPr>
        <w:tblpPr w:leftFromText="141" w:rightFromText="141" w:vertAnchor="text" w:horzAnchor="page" w:tblpX="1744" w:tblpY="3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850"/>
        <w:gridCol w:w="1852"/>
        <w:gridCol w:w="2749"/>
      </w:tblGrid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</w:pPr>
          </w:p>
        </w:tc>
        <w:tc>
          <w:tcPr>
            <w:tcW w:w="1993" w:type="pct"/>
            <w:gridSpan w:val="2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EU irányelvben rögzített kötelező hasznosítási arány (recycling %)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Magyarország teljesítése 2014-ben (recycling %)</w:t>
            </w:r>
          </w:p>
        </w:tc>
      </w:tr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</w:pP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2012-től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2025-től tervezett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</w:p>
        </w:tc>
      </w:tr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left"/>
            </w:pPr>
            <w:r w:rsidRPr="00062E2E">
              <w:t xml:space="preserve">Összes újrahasznált és anyagában hasznosított csomagolás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55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65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52,3(?)</w:t>
            </w:r>
          </w:p>
        </w:tc>
      </w:tr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left"/>
            </w:pPr>
            <w:r w:rsidRPr="00062E2E">
              <w:t xml:space="preserve">Ebből: Műanyag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22,5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55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36,7</w:t>
            </w:r>
          </w:p>
        </w:tc>
      </w:tr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left"/>
            </w:pPr>
            <w:r w:rsidRPr="00062E2E">
              <w:t xml:space="preserve">Fa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15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60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31,2</w:t>
            </w:r>
          </w:p>
        </w:tc>
      </w:tr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left"/>
            </w:pPr>
            <w:r w:rsidRPr="00062E2E">
              <w:t xml:space="preserve">Fém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50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75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83,5(?)</w:t>
            </w:r>
          </w:p>
        </w:tc>
      </w:tr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left"/>
            </w:pPr>
            <w:r w:rsidRPr="00062E2E">
              <w:t xml:space="preserve">Üveg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60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75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36,3</w:t>
            </w:r>
          </w:p>
        </w:tc>
      </w:tr>
      <w:tr w:rsidR="00062E2E" w:rsidRPr="00062E2E" w:rsidTr="00062E2E">
        <w:trPr>
          <w:trHeight w:val="454"/>
        </w:trPr>
        <w:tc>
          <w:tcPr>
            <w:tcW w:w="152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left"/>
            </w:pPr>
            <w:r w:rsidRPr="00062E2E">
              <w:t xml:space="preserve">Papír </w:t>
            </w:r>
          </w:p>
        </w:tc>
        <w:tc>
          <w:tcPr>
            <w:tcW w:w="996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60</w:t>
            </w:r>
          </w:p>
        </w:tc>
        <w:tc>
          <w:tcPr>
            <w:tcW w:w="997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75</w:t>
            </w:r>
          </w:p>
        </w:tc>
        <w:tc>
          <w:tcPr>
            <w:tcW w:w="1480" w:type="pc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E" w:rsidRPr="00062E2E" w:rsidRDefault="00062E2E" w:rsidP="00314CB6">
            <w:pPr>
              <w:spacing w:before="0" w:after="0" w:line="240" w:lineRule="auto"/>
              <w:ind w:left="0" w:firstLine="0"/>
              <w:jc w:val="center"/>
            </w:pPr>
            <w:r w:rsidRPr="00062E2E">
              <w:t>66,1(?)</w:t>
            </w:r>
          </w:p>
        </w:tc>
      </w:tr>
    </w:tbl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ED3458" w:rsidRDefault="00ED3458">
      <w:pPr>
        <w:spacing w:after="240" w:line="23" w:lineRule="atLeast"/>
      </w:pPr>
      <w:r>
        <w:br w:type="page"/>
      </w:r>
    </w:p>
    <w:p w:rsidR="00062E2E" w:rsidRDefault="00062E2E" w:rsidP="00314CB6">
      <w:pPr>
        <w:spacing w:before="0" w:after="0" w:line="240" w:lineRule="auto"/>
        <w:ind w:left="0" w:firstLine="0"/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104907</wp:posOffset>
            </wp:positionH>
            <wp:positionV relativeFrom="paragraph">
              <wp:posOffset>615143</wp:posOffset>
            </wp:positionV>
            <wp:extent cx="5966114" cy="3087839"/>
            <wp:effectExtent l="19050" t="0" r="0" b="0"/>
            <wp:wrapNone/>
            <wp:docPr id="1" name="Kép 1" descr="M:\WORKS\OKO Pannon UJ evad\_Prezik 2016\galli prezi\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M:\WORKS\OKO Pannon UJ evad\_Prezik 2016\galli prezi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097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14" cy="3087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1899">
        <w:t>2. s</w:t>
      </w:r>
      <w:r w:rsidRPr="00062E2E">
        <w:t xml:space="preserve">zámú melléklet: </w:t>
      </w:r>
      <w:r>
        <w:t>Recycling arányok 201</w:t>
      </w:r>
      <w:r w:rsidR="00ED3458">
        <w:t>3</w:t>
      </w:r>
      <w:r>
        <w:t>-b</w:t>
      </w:r>
      <w:r w:rsidR="00ED3458">
        <w:t>a</w:t>
      </w:r>
      <w:r w:rsidRPr="00062E2E">
        <w:t>n</w:t>
      </w:r>
    </w:p>
    <w:p w:rsidR="00062E2E" w:rsidRDefault="00062E2E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314CB6">
      <w:pPr>
        <w:spacing w:before="0" w:after="0" w:line="240" w:lineRule="auto"/>
        <w:ind w:left="0" w:firstLine="0"/>
      </w:pPr>
    </w:p>
    <w:p w:rsidR="00ED3458" w:rsidRDefault="00ED3458" w:rsidP="00ED3458">
      <w:pPr>
        <w:spacing w:before="0" w:after="0" w:line="240" w:lineRule="auto"/>
        <w:ind w:left="0" w:firstLine="0"/>
      </w:pPr>
      <w:r>
        <w:t>2. s</w:t>
      </w:r>
      <w:r w:rsidRPr="00062E2E">
        <w:t xml:space="preserve">zámú melléklet: </w:t>
      </w:r>
      <w:r>
        <w:t>Recycling arányok 2014-be</w:t>
      </w:r>
      <w:r w:rsidRPr="00062E2E">
        <w:t>n</w:t>
      </w:r>
    </w:p>
    <w:p w:rsidR="00ED3458" w:rsidRDefault="00ED3458" w:rsidP="00ED3458">
      <w:pPr>
        <w:spacing w:before="0" w:after="0" w:line="240" w:lineRule="auto"/>
        <w:ind w:left="0" w:firstLine="0"/>
      </w:pPr>
      <w:r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156210</wp:posOffset>
            </wp:positionV>
            <wp:extent cx="5757545" cy="2960370"/>
            <wp:effectExtent l="19050" t="0" r="0" b="0"/>
            <wp:wrapNone/>
            <wp:docPr id="2" name="Kép 1" descr="M:\WORKS\OKO Pannon UJ evad\_Prezik 2016\galli prezi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M:\WORKS\OKO Pannon UJ evad\_Prezik 2016\galli prezi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3622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96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3458" w:rsidRDefault="00ED3458" w:rsidP="00ED3458">
      <w:pPr>
        <w:spacing w:before="0" w:after="0" w:line="240" w:lineRule="auto"/>
        <w:ind w:left="0" w:firstLine="0"/>
      </w:pPr>
    </w:p>
    <w:p w:rsidR="00ED3458" w:rsidRDefault="00ED3458" w:rsidP="00ED3458">
      <w:pPr>
        <w:spacing w:before="0" w:after="0" w:line="240" w:lineRule="auto"/>
        <w:ind w:left="0" w:firstLine="0"/>
      </w:pPr>
    </w:p>
    <w:p w:rsidR="00ED3458" w:rsidRDefault="00ED3458" w:rsidP="00ED3458">
      <w:pPr>
        <w:spacing w:before="0" w:after="0" w:line="240" w:lineRule="auto"/>
        <w:ind w:left="0" w:firstLine="0"/>
      </w:pPr>
    </w:p>
    <w:p w:rsidR="00ED3458" w:rsidRDefault="00ED3458" w:rsidP="00ED3458">
      <w:pPr>
        <w:spacing w:before="0" w:after="0" w:line="240" w:lineRule="auto"/>
        <w:ind w:left="0" w:firstLine="0"/>
      </w:pPr>
    </w:p>
    <w:p w:rsidR="00ED3458" w:rsidRDefault="00ED3458" w:rsidP="00ED3458">
      <w:pPr>
        <w:spacing w:before="0" w:after="0" w:line="240" w:lineRule="auto"/>
        <w:ind w:left="0" w:firstLine="0"/>
      </w:pPr>
    </w:p>
    <w:p w:rsidR="00ED3458" w:rsidRDefault="00ED3458" w:rsidP="00ED3458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  <w:r>
        <w:br w:type="page"/>
      </w:r>
    </w:p>
    <w:p w:rsidR="00062E2E" w:rsidRPr="00062E2E" w:rsidRDefault="00751899" w:rsidP="00314CB6">
      <w:pPr>
        <w:spacing w:before="0" w:after="0" w:line="240" w:lineRule="auto"/>
        <w:ind w:left="0" w:firstLine="0"/>
      </w:pPr>
      <w:r>
        <w:lastRenderedPageBreak/>
        <w:t>3. s</w:t>
      </w:r>
      <w:r w:rsidR="00062E2E" w:rsidRPr="00062E2E">
        <w:t xml:space="preserve">zámú melléklet: </w:t>
      </w:r>
      <w:r w:rsidR="00314CB6">
        <w:t xml:space="preserve">A fogyasztókat </w:t>
      </w:r>
      <w:r w:rsidR="00062E2E" w:rsidRPr="00062E2E">
        <w:t>terhelő költség (csomagolási termékdíj)</w:t>
      </w:r>
    </w:p>
    <w:p w:rsidR="00062E2E" w:rsidRDefault="00062E2E" w:rsidP="00314CB6">
      <w:pPr>
        <w:spacing w:before="0" w:after="0" w:line="240" w:lineRule="auto"/>
        <w:ind w:left="0" w:firstLine="0"/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-132600</wp:posOffset>
            </wp:positionH>
            <wp:positionV relativeFrom="paragraph">
              <wp:posOffset>225489</wp:posOffset>
            </wp:positionV>
            <wp:extent cx="5966114" cy="2826618"/>
            <wp:effectExtent l="19050" t="0" r="0" b="0"/>
            <wp:wrapNone/>
            <wp:docPr id="3" name="Kép 3" descr="M:\WORKS\OKO Pannon UJ evad\_Prezik 2016\galli prezi\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M:\WORKS\OKO Pannon UJ evad\_Prezik 2016\galli prezi\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147"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14" cy="282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2E2E" w:rsidRDefault="00062E2E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314CB6" w:rsidRDefault="00314CB6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062E2E" w:rsidP="00314CB6">
      <w:pPr>
        <w:spacing w:before="0" w:after="0" w:line="240" w:lineRule="auto"/>
        <w:ind w:left="0" w:firstLine="0"/>
      </w:pPr>
    </w:p>
    <w:p w:rsidR="00062E2E" w:rsidRDefault="00751899" w:rsidP="00314CB6">
      <w:pPr>
        <w:spacing w:before="0" w:after="0" w:line="240" w:lineRule="auto"/>
        <w:ind w:left="0" w:firstLine="0"/>
      </w:pPr>
      <w:r>
        <w:t>4.s</w:t>
      </w:r>
      <w:r w:rsidR="00314CB6" w:rsidRPr="00314CB6">
        <w:t>zámú melléklet: A fajlagos bevételek és kiadások, valamint a hasznosítási teljesítmény alakulása</w:t>
      </w:r>
    </w:p>
    <w:p w:rsidR="00751899" w:rsidRPr="00314CB6" w:rsidRDefault="00751899" w:rsidP="00314CB6">
      <w:pPr>
        <w:spacing w:before="0" w:after="0" w:line="240" w:lineRule="auto"/>
        <w:ind w:left="0" w:firstLine="0"/>
      </w:pPr>
    </w:p>
    <w:tbl>
      <w:tblPr>
        <w:tblpPr w:leftFromText="141" w:rightFromText="141" w:vertAnchor="text" w:horzAnchor="margin" w:tblpY="79"/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053"/>
        <w:gridCol w:w="1054"/>
        <w:gridCol w:w="1054"/>
        <w:gridCol w:w="1054"/>
        <w:gridCol w:w="1054"/>
        <w:gridCol w:w="1054"/>
      </w:tblGrid>
      <w:tr w:rsidR="00314CB6" w:rsidRPr="00314CB6" w:rsidTr="00314CB6">
        <w:trPr>
          <w:trHeight w:val="56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314CB6" w:rsidRDefault="00314CB6" w:rsidP="00314CB6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314CB6">
              <w:rPr>
                <w:rFonts w:asciiTheme="minorHAnsi" w:hAnsiTheme="minorHAnsi"/>
                <w:b/>
                <w:szCs w:val="20"/>
              </w:rPr>
              <w:t xml:space="preserve">Év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314CB6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b/>
                <w:szCs w:val="20"/>
              </w:rPr>
            </w:pPr>
            <w:r w:rsidRPr="00314CB6">
              <w:rPr>
                <w:rFonts w:asciiTheme="minorHAnsi" w:hAnsiTheme="minorHAnsi"/>
                <w:b/>
                <w:szCs w:val="20"/>
              </w:rPr>
              <w:t xml:space="preserve">2011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314CB6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b/>
                <w:szCs w:val="20"/>
              </w:rPr>
            </w:pPr>
            <w:r w:rsidRPr="00314CB6">
              <w:rPr>
                <w:rFonts w:asciiTheme="minorHAnsi" w:hAnsiTheme="minorHAnsi"/>
                <w:b/>
                <w:szCs w:val="20"/>
              </w:rPr>
              <w:t xml:space="preserve">2012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314CB6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b/>
                <w:szCs w:val="20"/>
              </w:rPr>
            </w:pPr>
            <w:r w:rsidRPr="00314CB6">
              <w:rPr>
                <w:rFonts w:asciiTheme="minorHAnsi" w:hAnsiTheme="minorHAnsi"/>
                <w:b/>
                <w:szCs w:val="20"/>
              </w:rPr>
              <w:t xml:space="preserve">2013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314CB6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b/>
                <w:szCs w:val="20"/>
              </w:rPr>
            </w:pPr>
            <w:r w:rsidRPr="00314CB6">
              <w:rPr>
                <w:rFonts w:asciiTheme="minorHAnsi" w:hAnsiTheme="minorHAnsi"/>
                <w:b/>
                <w:szCs w:val="20"/>
              </w:rPr>
              <w:t xml:space="preserve">2014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314CB6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b/>
                <w:szCs w:val="20"/>
              </w:rPr>
            </w:pPr>
            <w:r w:rsidRPr="00314CB6">
              <w:rPr>
                <w:rFonts w:asciiTheme="minorHAnsi" w:hAnsiTheme="minorHAnsi"/>
                <w:b/>
                <w:szCs w:val="20"/>
              </w:rPr>
              <w:t xml:space="preserve">2015T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314CB6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b/>
                <w:szCs w:val="20"/>
              </w:rPr>
            </w:pPr>
            <w:r w:rsidRPr="00314CB6">
              <w:rPr>
                <w:rFonts w:asciiTheme="minorHAnsi" w:hAnsiTheme="minorHAnsi"/>
                <w:b/>
                <w:szCs w:val="20"/>
              </w:rPr>
              <w:t xml:space="preserve">2016T </w:t>
            </w:r>
          </w:p>
        </w:tc>
      </w:tr>
      <w:tr w:rsidR="00314CB6" w:rsidRPr="00062E2E" w:rsidTr="00314CB6">
        <w:trPr>
          <w:trHeight w:val="56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Éves termékdíj bevétel MFt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6900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34900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30008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32600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37000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38300 </w:t>
            </w:r>
          </w:p>
        </w:tc>
      </w:tr>
      <w:tr w:rsidR="00314CB6" w:rsidRPr="00062E2E" w:rsidTr="00314CB6">
        <w:trPr>
          <w:trHeight w:val="56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Éves termékdíj bevétel a kibocsátás arányában (Ft/kg)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19,0*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34,5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30,1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32,4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33,5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34,4 </w:t>
            </w:r>
          </w:p>
        </w:tc>
      </w:tr>
      <w:tr w:rsidR="00314CB6" w:rsidRPr="00062E2E" w:rsidTr="00314CB6">
        <w:trPr>
          <w:trHeight w:val="56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Fajlagos ráfordítás a hasznosítás arányában (Ft/kg)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18,0**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9,7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9,4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10,3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9,9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9,5 </w:t>
            </w:r>
          </w:p>
        </w:tc>
      </w:tr>
      <w:tr w:rsidR="00314CB6" w:rsidRPr="00062E2E" w:rsidTr="00314CB6">
        <w:trPr>
          <w:trHeight w:val="56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Hasznosítási teljesítmény anyagában (recycling %)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59,3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49,1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50,1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52,3 </w:t>
            </w:r>
            <w:r w:rsidR="008C472F">
              <w:rPr>
                <w:rFonts w:asciiTheme="minorHAnsi" w:hAnsiTheme="minorHAnsi"/>
                <w:sz w:val="20"/>
                <w:szCs w:val="20"/>
              </w:rPr>
              <w:t>(?)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55,0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49,2 </w:t>
            </w:r>
          </w:p>
        </w:tc>
      </w:tr>
      <w:tr w:rsidR="00314CB6" w:rsidRPr="00062E2E" w:rsidTr="00314CB6">
        <w:trPr>
          <w:trHeight w:val="56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Ellenőrzött, fizetett hasznosí</w:t>
            </w:r>
            <w:r w:rsidRPr="00062E2E">
              <w:rPr>
                <w:rFonts w:asciiTheme="minorHAnsi" w:hAnsiTheme="minorHAnsi"/>
                <w:sz w:val="20"/>
                <w:szCs w:val="20"/>
              </w:rPr>
              <w:t xml:space="preserve">tási teljesítmény (recycling %)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58,0**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37,7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35,7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34,8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34,7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39,3 </w:t>
            </w:r>
          </w:p>
        </w:tc>
      </w:tr>
      <w:tr w:rsidR="00314CB6" w:rsidRPr="00062E2E" w:rsidTr="00314CB6">
        <w:trPr>
          <w:trHeight w:val="567"/>
        </w:trPr>
        <w:tc>
          <w:tcPr>
            <w:tcW w:w="1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Gyűjtési teljesítmény (recovery %) </w:t>
            </w:r>
          </w:p>
        </w:tc>
        <w:tc>
          <w:tcPr>
            <w:tcW w:w="5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62,9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60,1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60,3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59,7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65,1 </w:t>
            </w:r>
          </w:p>
        </w:tc>
        <w:tc>
          <w:tcPr>
            <w:tcW w:w="5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4CB6" w:rsidRPr="00062E2E" w:rsidRDefault="00314CB6" w:rsidP="00314CB6">
            <w:pPr>
              <w:spacing w:before="0"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62E2E">
              <w:rPr>
                <w:rFonts w:asciiTheme="minorHAnsi" w:hAnsiTheme="minorHAnsi"/>
                <w:sz w:val="20"/>
                <w:szCs w:val="20"/>
              </w:rPr>
              <w:t xml:space="preserve">63,9 </w:t>
            </w:r>
          </w:p>
        </w:tc>
      </w:tr>
    </w:tbl>
    <w:p w:rsidR="00314CB6" w:rsidRDefault="00314CB6" w:rsidP="00314CB6">
      <w:pPr>
        <w:spacing w:before="0" w:after="0" w:line="240" w:lineRule="auto"/>
        <w:ind w:left="0" w:firstLine="0"/>
      </w:pPr>
    </w:p>
    <w:p w:rsidR="00314CB6" w:rsidRPr="00314CB6" w:rsidRDefault="00314CB6" w:rsidP="00314CB6">
      <w:pPr>
        <w:spacing w:before="0" w:after="0" w:line="240" w:lineRule="auto"/>
        <w:ind w:left="0" w:firstLine="0"/>
      </w:pPr>
      <w:r w:rsidRPr="00314CB6">
        <w:t>*    Termékdíj + licencdíj</w:t>
      </w:r>
    </w:p>
    <w:p w:rsidR="00314CB6" w:rsidRPr="00314CB6" w:rsidRDefault="00314CB6" w:rsidP="00314CB6">
      <w:pPr>
        <w:spacing w:before="0" w:after="0" w:line="240" w:lineRule="auto"/>
        <w:ind w:left="0" w:firstLine="0"/>
      </w:pPr>
      <w:r w:rsidRPr="00314CB6">
        <w:t xml:space="preserve">**  Koordináló szervezetek adata </w:t>
      </w:r>
    </w:p>
    <w:p w:rsidR="00314CB6" w:rsidRDefault="00314CB6" w:rsidP="00314CB6">
      <w:pPr>
        <w:spacing w:before="0" w:after="0" w:line="240" w:lineRule="auto"/>
        <w:ind w:left="0" w:firstLine="0"/>
      </w:pPr>
      <w:r>
        <w:br w:type="page"/>
      </w:r>
    </w:p>
    <w:p w:rsidR="00314CB6" w:rsidRDefault="00314CB6" w:rsidP="00314CB6">
      <w:pPr>
        <w:spacing w:before="0" w:after="0" w:line="240" w:lineRule="auto"/>
        <w:ind w:left="0" w:firstLine="0"/>
      </w:pPr>
    </w:p>
    <w:p w:rsidR="005B66F2" w:rsidRPr="005B66F2" w:rsidRDefault="00751899" w:rsidP="005B66F2">
      <w:pPr>
        <w:ind w:left="0" w:firstLine="0"/>
        <w:jc w:val="left"/>
      </w:pPr>
      <w:r>
        <w:t>5. s</w:t>
      </w:r>
      <w:r w:rsidR="005B66F2" w:rsidRPr="005B66F2">
        <w:t>zámú melléklet: Hasznosítási teljesítmény alakulása</w:t>
      </w:r>
      <w:r w:rsidR="005B66F2">
        <w:t>;</w:t>
      </w:r>
      <w:r w:rsidR="005B66F2" w:rsidRPr="005B66F2">
        <w:t xml:space="preserve"> Anyagában történő hasznosítás (recycling %)</w:t>
      </w:r>
    </w:p>
    <w:p w:rsidR="005B66F2" w:rsidRDefault="005B66F2" w:rsidP="00314CB6">
      <w:pPr>
        <w:spacing w:before="0" w:after="0" w:line="240" w:lineRule="auto"/>
        <w:ind w:left="0" w:firstLine="0"/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152400</wp:posOffset>
            </wp:positionV>
            <wp:extent cx="5758815" cy="2934970"/>
            <wp:effectExtent l="19050" t="0" r="0" b="0"/>
            <wp:wrapNone/>
            <wp:docPr id="4" name="Kép 2" descr="G:\_PREZIK\_Prezik 2016\galli miklos prezi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_PREZIK\_Prezik 2016\galli miklos prezi\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622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93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Pr="005B66F2" w:rsidRDefault="00751899" w:rsidP="005B66F2">
      <w:pPr>
        <w:ind w:left="0" w:firstLine="0"/>
      </w:pPr>
      <w:r>
        <w:t>6. s</w:t>
      </w:r>
      <w:r w:rsidR="005B66F2" w:rsidRPr="005B66F2">
        <w:t>zámú melléklet: Az egyéni teljesítő által a jelenlegi szabályozás szerint fizetendő költség (H</w:t>
      </w:r>
      <w:r w:rsidR="005B66F2" w:rsidRPr="005B66F2">
        <w:rPr>
          <w:vertAlign w:val="subscript"/>
        </w:rPr>
        <w:t>eössz</w:t>
      </w:r>
      <w:r w:rsidR="005B66F2" w:rsidRPr="005B66F2">
        <w:t>) és termékdíj (T</w:t>
      </w:r>
      <w:r w:rsidR="005B66F2" w:rsidRPr="005B66F2">
        <w:rPr>
          <w:vertAlign w:val="subscript"/>
        </w:rPr>
        <w:t>kollektív</w:t>
      </w:r>
      <w:r w:rsidR="005B66F2" w:rsidRPr="005B66F2">
        <w:t>) összehasonlítása a hasznosítási arány függvényében</w:t>
      </w: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6985</wp:posOffset>
            </wp:positionV>
            <wp:extent cx="5757545" cy="2960370"/>
            <wp:effectExtent l="19050" t="0" r="0" b="0"/>
            <wp:wrapNone/>
            <wp:docPr id="5" name="Kép 3" descr="G:\_PREZIK\_Prezik 2016\galli miklos prezi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_PREZIK\_Prezik 2016\galli miklos prezi\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3622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 w:rsidP="00314CB6">
      <w:pPr>
        <w:spacing w:before="0" w:after="0" w:line="240" w:lineRule="auto"/>
        <w:ind w:left="0" w:firstLine="0"/>
      </w:pPr>
    </w:p>
    <w:p w:rsidR="005B66F2" w:rsidRDefault="005B66F2">
      <w:pPr>
        <w:spacing w:after="240" w:line="23" w:lineRule="atLeast"/>
      </w:pPr>
      <w:r>
        <w:br w:type="page"/>
      </w:r>
    </w:p>
    <w:p w:rsidR="005B66F2" w:rsidRDefault="005B66F2" w:rsidP="00314CB6">
      <w:pPr>
        <w:spacing w:before="0" w:after="0" w:line="240" w:lineRule="auto"/>
        <w:ind w:left="0" w:firstLine="0"/>
      </w:pPr>
    </w:p>
    <w:p w:rsidR="00B756DA" w:rsidRPr="00B756DA" w:rsidRDefault="00751899" w:rsidP="00B756DA">
      <w:pPr>
        <w:spacing w:before="0" w:after="0" w:line="240" w:lineRule="auto"/>
        <w:ind w:left="0" w:firstLine="0"/>
        <w:jc w:val="left"/>
      </w:pPr>
      <w:r>
        <w:t>7. s</w:t>
      </w:r>
      <w:r w:rsidR="00B756DA" w:rsidRPr="00B756DA">
        <w:t xml:space="preserve">zámú melléklet: </w:t>
      </w:r>
      <w:r w:rsidR="00B756DA" w:rsidRPr="00B756DA">
        <w:rPr>
          <w:bCs/>
        </w:rPr>
        <w:t>Javaslat a módosított díjstruktúrára és paraméterekre</w:t>
      </w:r>
    </w:p>
    <w:p w:rsidR="00B756DA" w:rsidRDefault="00B756DA" w:rsidP="00314CB6">
      <w:pPr>
        <w:spacing w:before="0" w:after="0" w:line="240" w:lineRule="auto"/>
        <w:ind w:left="0" w:firstLine="0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028"/>
        <w:gridCol w:w="1030"/>
        <w:gridCol w:w="1030"/>
        <w:gridCol w:w="1030"/>
        <w:gridCol w:w="1030"/>
        <w:gridCol w:w="1030"/>
        <w:gridCol w:w="1024"/>
      </w:tblGrid>
      <w:tr w:rsidR="00B756DA" w:rsidRPr="00B756DA" w:rsidTr="00B756DA">
        <w:trPr>
          <w:trHeight w:val="79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 xml:space="preserve">A csomagolóanyag </w:t>
            </w:r>
            <w:r w:rsidRPr="00B756DA">
              <w:rPr>
                <w:b/>
                <w:bCs/>
                <w:sz w:val="18"/>
              </w:rPr>
              <w:br/>
              <w:t>fajtája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 xml:space="preserve">Kollektív </w:t>
            </w:r>
            <w:r w:rsidRPr="00B756DA">
              <w:rPr>
                <w:b/>
                <w:bCs/>
                <w:sz w:val="18"/>
              </w:rPr>
              <w:br/>
              <w:t xml:space="preserve">teljesítő </w:t>
            </w:r>
            <w:r w:rsidRPr="00B756DA">
              <w:rPr>
                <w:b/>
                <w:bCs/>
                <w:sz w:val="18"/>
              </w:rPr>
              <w:br/>
              <w:t xml:space="preserve">termékdíj </w:t>
            </w:r>
            <w:r w:rsidRPr="00B756DA">
              <w:rPr>
                <w:b/>
                <w:bCs/>
                <w:sz w:val="18"/>
              </w:rPr>
              <w:br/>
              <w:t>tétele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 xml:space="preserve">Fajlagos </w:t>
            </w:r>
            <w:r w:rsidRPr="00B756DA">
              <w:rPr>
                <w:b/>
                <w:bCs/>
                <w:sz w:val="18"/>
              </w:rPr>
              <w:br/>
              <w:t xml:space="preserve">rendszerirányítási </w:t>
            </w:r>
            <w:r w:rsidRPr="00B756DA">
              <w:rPr>
                <w:b/>
                <w:bCs/>
                <w:sz w:val="18"/>
              </w:rPr>
              <w:br/>
              <w:t>alapköltség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</w:rPr>
            </w:pPr>
            <w:r w:rsidRPr="00B756DA">
              <w:rPr>
                <w:b/>
                <w:bCs/>
                <w:color w:val="C00000"/>
                <w:sz w:val="18"/>
              </w:rPr>
              <w:t xml:space="preserve">Javasolt új </w:t>
            </w:r>
            <w:r w:rsidRPr="00B756DA">
              <w:rPr>
                <w:b/>
                <w:bCs/>
                <w:color w:val="C00000"/>
                <w:sz w:val="18"/>
              </w:rPr>
              <w:br/>
              <w:t xml:space="preserve">rendszerirányítási </w:t>
            </w:r>
            <w:r w:rsidRPr="00B756DA">
              <w:rPr>
                <w:b/>
                <w:bCs/>
                <w:color w:val="C00000"/>
                <w:sz w:val="18"/>
              </w:rPr>
              <w:br/>
              <w:t>alapköltség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 xml:space="preserve">Externális </w:t>
            </w:r>
            <w:r w:rsidRPr="00B756DA">
              <w:rPr>
                <w:b/>
                <w:bCs/>
                <w:sz w:val="18"/>
              </w:rPr>
              <w:br/>
              <w:t>alapköltség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</w:rPr>
            </w:pPr>
            <w:r w:rsidRPr="00B756DA">
              <w:rPr>
                <w:b/>
                <w:bCs/>
                <w:color w:val="C00000"/>
                <w:sz w:val="18"/>
              </w:rPr>
              <w:t>Javasolt</w:t>
            </w:r>
            <w:r w:rsidRPr="00B756DA">
              <w:rPr>
                <w:b/>
                <w:bCs/>
                <w:color w:val="C00000"/>
                <w:sz w:val="18"/>
              </w:rPr>
              <w:br/>
              <w:t>Externális</w:t>
            </w:r>
            <w:r w:rsidRPr="00B756DA">
              <w:rPr>
                <w:b/>
                <w:bCs/>
                <w:color w:val="C00000"/>
                <w:sz w:val="18"/>
              </w:rPr>
              <w:br/>
              <w:t>alapköltség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 xml:space="preserve">Kezelési </w:t>
            </w:r>
            <w:r w:rsidRPr="00B756DA">
              <w:rPr>
                <w:b/>
                <w:bCs/>
                <w:sz w:val="18"/>
              </w:rPr>
              <w:br/>
              <w:t>alapköltség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</w:rPr>
            </w:pPr>
            <w:r w:rsidRPr="00B756DA">
              <w:rPr>
                <w:b/>
                <w:bCs/>
                <w:color w:val="C00000"/>
                <w:sz w:val="18"/>
              </w:rPr>
              <w:t>Javasolt</w:t>
            </w:r>
            <w:r w:rsidRPr="00B756DA">
              <w:rPr>
                <w:b/>
                <w:bCs/>
                <w:color w:val="C00000"/>
                <w:sz w:val="18"/>
              </w:rPr>
              <w:br/>
              <w:t>Kezelési</w:t>
            </w:r>
            <w:r w:rsidRPr="00B756DA">
              <w:rPr>
                <w:b/>
                <w:bCs/>
                <w:color w:val="C00000"/>
                <w:sz w:val="18"/>
              </w:rPr>
              <w:br/>
              <w:t>alapköltség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6DA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rPr>
                <w:b/>
                <w:bCs/>
              </w:rPr>
              <w:t>T</w:t>
            </w:r>
            <w:r w:rsidRPr="00B756DA">
              <w:rPr>
                <w:b/>
                <w:bCs/>
                <w:vertAlign w:val="subscript"/>
              </w:rPr>
              <w:t>K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rPr>
                <w:b/>
                <w:bCs/>
              </w:rPr>
              <w:t>R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b/>
                <w:bCs/>
                <w:color w:val="C00000"/>
              </w:rPr>
              <w:t>R</w:t>
            </w:r>
            <w:r w:rsidRPr="00B756DA">
              <w:rPr>
                <w:b/>
                <w:bCs/>
                <w:color w:val="C00000"/>
                <w:vertAlign w:val="subscript"/>
              </w:rPr>
              <w:t>új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rPr>
                <w:b/>
                <w:bCs/>
              </w:rPr>
              <w:t>E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b/>
                <w:bCs/>
                <w:color w:val="C00000"/>
              </w:rPr>
              <w:t>E</w:t>
            </w:r>
            <w:r w:rsidRPr="00B756DA">
              <w:rPr>
                <w:b/>
                <w:bCs/>
                <w:color w:val="C00000"/>
                <w:vertAlign w:val="subscript"/>
              </w:rPr>
              <w:t>új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rPr>
                <w:b/>
                <w:bCs/>
              </w:rPr>
              <w:t>K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b/>
                <w:bCs/>
                <w:color w:val="C00000"/>
              </w:rPr>
              <w:t>K</w:t>
            </w:r>
            <w:r w:rsidRPr="00B756DA">
              <w:rPr>
                <w:b/>
                <w:bCs/>
                <w:color w:val="C00000"/>
                <w:vertAlign w:val="subscript"/>
              </w:rPr>
              <w:t>új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6DA" w:rsidRPr="00B756DA" w:rsidRDefault="00B756DA" w:rsidP="00B756DA">
            <w:pPr>
              <w:spacing w:before="0" w:after="0" w:line="240" w:lineRule="auto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>(Ft/kg)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>(Ft/kg)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</w:rPr>
            </w:pPr>
            <w:r w:rsidRPr="00B756DA">
              <w:rPr>
                <w:b/>
                <w:bCs/>
                <w:color w:val="C00000"/>
                <w:sz w:val="18"/>
              </w:rPr>
              <w:t>(Ft/kg)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>(Ft/kg)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</w:rPr>
            </w:pPr>
            <w:r w:rsidRPr="00B756DA">
              <w:rPr>
                <w:b/>
                <w:bCs/>
                <w:color w:val="C00000"/>
                <w:sz w:val="18"/>
              </w:rPr>
              <w:t>(Ft/kg)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sz w:val="18"/>
              </w:rPr>
            </w:pPr>
            <w:r w:rsidRPr="00B756DA">
              <w:rPr>
                <w:b/>
                <w:bCs/>
                <w:sz w:val="18"/>
              </w:rPr>
              <w:t>(Ft/kg)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</w:rPr>
            </w:pPr>
            <w:r w:rsidRPr="00B756DA">
              <w:rPr>
                <w:b/>
                <w:bCs/>
                <w:color w:val="C00000"/>
                <w:sz w:val="18"/>
              </w:rPr>
              <w:t>(Ft/kg)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papír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19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16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13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874F89">
            <w:pPr>
              <w:spacing w:before="0" w:after="0" w:line="240" w:lineRule="auto"/>
              <w:ind w:left="0" w:firstLine="0"/>
              <w:jc w:val="center"/>
            </w:pPr>
            <w:r w:rsidRPr="00B756DA">
              <w:t>4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5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7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fa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19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11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8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fém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19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12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12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8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8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üveg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19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12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6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10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16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társított, italos karton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19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12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13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7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társított, más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57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30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24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27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40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műanyag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57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30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24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27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40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egyéb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57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30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24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27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  <w:rPr>
                <w:color w:val="C00000"/>
              </w:rPr>
            </w:pPr>
            <w:r w:rsidRPr="00B756DA">
              <w:rPr>
                <w:color w:val="C00000"/>
              </w:rPr>
              <w:t>40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 w:rsidRPr="00B756DA">
              <w:rPr>
                <w:b/>
                <w:bCs/>
              </w:rPr>
              <w:t>fém, kereskedelmi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304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160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160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120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120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100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</w:tr>
      <w:tr w:rsidR="00B756DA" w:rsidRPr="00B756DA" w:rsidTr="00B756DA">
        <w:trPr>
          <w:trHeight w:val="454"/>
        </w:trPr>
        <w:tc>
          <w:tcPr>
            <w:tcW w:w="1126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left"/>
            </w:pPr>
            <w:r>
              <w:rPr>
                <w:b/>
                <w:bCs/>
              </w:rPr>
              <w:t xml:space="preserve">bevásárló műanyag </w:t>
            </w:r>
            <w:r w:rsidRPr="00B756DA">
              <w:rPr>
                <w:b/>
                <w:bCs/>
              </w:rPr>
              <w:t>reklámtáska</w:t>
            </w:r>
            <w:r w:rsidRPr="00B756DA">
              <w:t xml:space="preserve"> </w:t>
            </w:r>
          </w:p>
        </w:tc>
        <w:tc>
          <w:tcPr>
            <w:tcW w:w="55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1900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1300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1300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774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774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30</w:t>
            </w:r>
          </w:p>
        </w:tc>
        <w:tc>
          <w:tcPr>
            <w:tcW w:w="554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B756DA" w:rsidRDefault="00B756DA" w:rsidP="00B756DA">
            <w:pPr>
              <w:spacing w:before="0" w:after="0" w:line="240" w:lineRule="auto"/>
              <w:ind w:left="0" w:firstLine="0"/>
              <w:jc w:val="center"/>
            </w:pPr>
            <w:r w:rsidRPr="00B756DA">
              <w:t>30</w:t>
            </w:r>
            <w:r w:rsidR="00874F89" w:rsidRPr="00874F89">
              <w:rPr>
                <w:rFonts w:ascii="Wingdings" w:hAnsi="Wingdings"/>
                <w:color w:val="00B050"/>
                <w:sz w:val="28"/>
              </w:rPr>
              <w:t></w:t>
            </w:r>
          </w:p>
        </w:tc>
      </w:tr>
    </w:tbl>
    <w:p w:rsidR="00B756DA" w:rsidRDefault="00B756DA" w:rsidP="00314CB6">
      <w:pPr>
        <w:spacing w:before="0" w:after="0" w:line="240" w:lineRule="auto"/>
        <w:ind w:left="0" w:firstLine="0"/>
      </w:pPr>
    </w:p>
    <w:p w:rsidR="00B756DA" w:rsidRPr="00B756DA" w:rsidRDefault="00B756DA" w:rsidP="00B756DA">
      <w:pPr>
        <w:spacing w:before="0" w:after="0" w:line="240" w:lineRule="auto"/>
        <w:ind w:left="0" w:firstLine="0"/>
      </w:pPr>
      <w:r w:rsidRPr="00B756DA">
        <w:t xml:space="preserve">* a módosításokat pirossal jelöltük </w:t>
      </w:r>
    </w:p>
    <w:p w:rsidR="00B756DA" w:rsidRDefault="00B756DA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  <w:bookmarkStart w:id="0" w:name="_GoBack"/>
      <w:bookmarkEnd w:id="0"/>
    </w:p>
    <w:p w:rsidR="00FA70E6" w:rsidRPr="00FA70E6" w:rsidRDefault="00751899" w:rsidP="00FA70E6">
      <w:pPr>
        <w:spacing w:before="0" w:after="0" w:line="240" w:lineRule="auto"/>
        <w:ind w:left="0" w:firstLine="0"/>
        <w:jc w:val="left"/>
      </w:pPr>
      <w:r>
        <w:t>8. s</w:t>
      </w:r>
      <w:r w:rsidR="00FA70E6" w:rsidRPr="00FA70E6">
        <w:t xml:space="preserve">zámú melléklet: </w:t>
      </w:r>
      <w:r w:rsidR="00FA70E6" w:rsidRPr="00FA70E6">
        <w:rPr>
          <w:bCs/>
        </w:rPr>
        <w:t>A módosítások eredménye</w:t>
      </w:r>
    </w:p>
    <w:p w:rsidR="00B756DA" w:rsidRDefault="00B756DA" w:rsidP="00314CB6">
      <w:pPr>
        <w:spacing w:before="0" w:after="0" w:line="240" w:lineRule="auto"/>
        <w:ind w:left="0" w:firstLine="0"/>
      </w:pPr>
    </w:p>
    <w:p w:rsidR="005B66F2" w:rsidRDefault="00FA70E6" w:rsidP="00314CB6">
      <w:pPr>
        <w:spacing w:before="0" w:after="0" w:line="240" w:lineRule="auto"/>
        <w:ind w:left="0" w:firstLine="0"/>
      </w:pPr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164284</wp:posOffset>
            </wp:positionH>
            <wp:positionV relativeFrom="paragraph">
              <wp:posOffset>136253</wp:posOffset>
            </wp:positionV>
            <wp:extent cx="5757635" cy="2960914"/>
            <wp:effectExtent l="19050" t="0" r="0" b="0"/>
            <wp:wrapNone/>
            <wp:docPr id="6" name="Kép 5" descr="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11" cstate="print"/>
                    <a:srcRect t="23622" b="7874"/>
                    <a:stretch>
                      <a:fillRect/>
                    </a:stretch>
                  </pic:blipFill>
                  <pic:spPr>
                    <a:xfrm>
                      <a:off x="0" y="0"/>
                      <a:ext cx="5757635" cy="296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E2E" w:rsidRDefault="00062E2E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</w:p>
    <w:p w:rsidR="00FA70E6" w:rsidRDefault="00FA70E6">
      <w:pPr>
        <w:spacing w:after="240" w:line="23" w:lineRule="atLeast"/>
      </w:pPr>
      <w:r>
        <w:br w:type="page"/>
      </w:r>
    </w:p>
    <w:p w:rsidR="00FA70E6" w:rsidRDefault="00FA70E6" w:rsidP="00314CB6">
      <w:pPr>
        <w:spacing w:before="0" w:after="0" w:line="240" w:lineRule="auto"/>
        <w:ind w:left="0" w:firstLine="0"/>
      </w:pPr>
    </w:p>
    <w:p w:rsidR="00340947" w:rsidRPr="00340947" w:rsidRDefault="00751899" w:rsidP="00340947">
      <w:pPr>
        <w:spacing w:before="0" w:after="0" w:line="240" w:lineRule="auto"/>
        <w:ind w:left="0" w:firstLine="0"/>
        <w:jc w:val="left"/>
      </w:pPr>
      <w:r>
        <w:t>9. s</w:t>
      </w:r>
      <w:r w:rsidR="00340947" w:rsidRPr="00340947">
        <w:t>zámú melléklet:</w:t>
      </w:r>
      <w:r w:rsidR="00340947">
        <w:t xml:space="preserve"> </w:t>
      </w:r>
      <w:r w:rsidR="00340947" w:rsidRPr="00340947">
        <w:rPr>
          <w:bCs/>
        </w:rPr>
        <w:t>Egyéni teljesítő ösztönzése 100% hasznosítási hányad elérésére</w:t>
      </w:r>
    </w:p>
    <w:p w:rsidR="00FA70E6" w:rsidRDefault="00FA70E6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  <w:r w:rsidRPr="00FA70E6">
        <w:t>Javasolt képlet q</w:t>
      </w:r>
      <w:r w:rsidRPr="00FA70E6">
        <w:rPr>
          <w:vertAlign w:val="subscript"/>
        </w:rPr>
        <w:t>e</w:t>
      </w:r>
      <w:r w:rsidRPr="00FA70E6">
        <w:t>&gt;65% esetére</w:t>
      </w:r>
      <w:r w:rsidR="00340947">
        <w:t>:</w:t>
      </w:r>
    </w:p>
    <w:p w:rsidR="00FA70E6" w:rsidRDefault="00FA70E6" w:rsidP="00314CB6">
      <w:pPr>
        <w:spacing w:before="0" w:after="0" w:line="240" w:lineRule="auto"/>
        <w:ind w:left="0" w:firstLine="0"/>
      </w:pPr>
      <w:r>
        <w:rPr>
          <w:noProof/>
          <w:lang w:eastAsia="hu-H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3175</wp:posOffset>
            </wp:positionV>
            <wp:extent cx="5384800" cy="711200"/>
            <wp:effectExtent l="19050" t="0" r="6350" b="0"/>
            <wp:wrapNone/>
            <wp:docPr id="7" name="Kép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70E6" w:rsidRDefault="00FA70E6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</w:p>
    <w:p w:rsidR="00FA70E6" w:rsidRDefault="00FA70E6" w:rsidP="00314CB6">
      <w:pPr>
        <w:spacing w:before="0" w:after="0" w:line="240" w:lineRule="auto"/>
        <w:ind w:left="0" w:firstLine="0"/>
      </w:pPr>
    </w:p>
    <w:p w:rsidR="00340947" w:rsidRPr="00340947" w:rsidRDefault="00340947" w:rsidP="00340947">
      <w:pPr>
        <w:spacing w:before="0" w:after="0" w:line="240" w:lineRule="auto"/>
        <w:ind w:left="0" w:firstLine="0"/>
      </w:pPr>
      <w:r w:rsidRPr="00340947">
        <w:t>Ahol:</w:t>
      </w:r>
    </w:p>
    <w:p w:rsidR="008E73BF" w:rsidRPr="00340947" w:rsidRDefault="00751899" w:rsidP="00340947">
      <w:pPr>
        <w:numPr>
          <w:ilvl w:val="1"/>
          <w:numId w:val="1"/>
        </w:numPr>
        <w:spacing w:before="0" w:after="0" w:line="240" w:lineRule="auto"/>
      </w:pPr>
      <w:r w:rsidRPr="00340947">
        <w:t>100% &gt; q</w:t>
      </w:r>
      <w:r w:rsidRPr="00340947">
        <w:rPr>
          <w:vertAlign w:val="subscript"/>
        </w:rPr>
        <w:t>e</w:t>
      </w:r>
      <w:r w:rsidRPr="00340947">
        <w:t xml:space="preserve"> &gt; 65%</w:t>
      </w:r>
    </w:p>
    <w:p w:rsidR="00FA70E6" w:rsidRDefault="00340947" w:rsidP="00340947">
      <w:pPr>
        <w:pStyle w:val="Listaszerbekezds"/>
        <w:numPr>
          <w:ilvl w:val="1"/>
          <w:numId w:val="1"/>
        </w:numPr>
        <w:spacing w:before="0" w:after="0" w:line="240" w:lineRule="auto"/>
      </w:pPr>
      <w:r w:rsidRPr="00340947">
        <w:t>E</w:t>
      </w:r>
      <w:r w:rsidRPr="00340947">
        <w:rPr>
          <w:vertAlign w:val="subscript"/>
        </w:rPr>
        <w:t>e</w:t>
      </w:r>
      <w:r w:rsidRPr="00340947">
        <w:t xml:space="preserve"> = 2 Ft/kg, ahol „</w:t>
      </w:r>
      <w:r w:rsidRPr="00340947">
        <w:rPr>
          <w:b/>
          <w:bCs/>
        </w:rPr>
        <w:t>E</w:t>
      </w:r>
      <w:r w:rsidRPr="00340947">
        <w:rPr>
          <w:b/>
          <w:bCs/>
          <w:vertAlign w:val="subscript"/>
        </w:rPr>
        <w:t>e</w:t>
      </w:r>
      <w:r w:rsidRPr="00340947">
        <w:rPr>
          <w:b/>
          <w:bCs/>
        </w:rPr>
        <w:t>”</w:t>
      </w:r>
      <w:r w:rsidRPr="00340947">
        <w:t xml:space="preserve"> az egyéni teljesítő egyéb ráfordítása</w:t>
      </w:r>
    </w:p>
    <w:p w:rsidR="00340947" w:rsidRDefault="00340947" w:rsidP="00314CB6">
      <w:pPr>
        <w:spacing w:before="0" w:after="0" w:line="240" w:lineRule="auto"/>
        <w:ind w:left="0" w:firstLine="0"/>
      </w:pPr>
    </w:p>
    <w:p w:rsidR="00340947" w:rsidRDefault="00340947" w:rsidP="00314CB6">
      <w:pPr>
        <w:spacing w:before="0" w:after="0" w:line="240" w:lineRule="auto"/>
        <w:ind w:left="0" w:firstLine="0"/>
      </w:pPr>
    </w:p>
    <w:p w:rsidR="00340947" w:rsidRPr="00340947" w:rsidRDefault="00751899" w:rsidP="00340947">
      <w:pPr>
        <w:spacing w:before="0" w:after="0" w:line="240" w:lineRule="auto"/>
        <w:ind w:left="0" w:firstLine="0"/>
        <w:jc w:val="left"/>
      </w:pPr>
      <w:r>
        <w:t>10. s</w:t>
      </w:r>
      <w:r w:rsidR="00340947" w:rsidRPr="00340947">
        <w:t xml:space="preserve">zámú melléklet: </w:t>
      </w:r>
      <w:r w:rsidR="00340947" w:rsidRPr="00340947">
        <w:rPr>
          <w:bCs/>
        </w:rPr>
        <w:t>A javaslat hatása a fizetendő termékdíjra 100%-os hasznosításnál</w:t>
      </w:r>
    </w:p>
    <w:p w:rsidR="00340947" w:rsidRDefault="00340947" w:rsidP="00314CB6">
      <w:pPr>
        <w:spacing w:before="0" w:after="0" w:line="240" w:lineRule="auto"/>
        <w:ind w:left="0" w:firstLine="0"/>
      </w:pPr>
    </w:p>
    <w:p w:rsidR="00340947" w:rsidRDefault="00340947" w:rsidP="00314CB6">
      <w:pPr>
        <w:spacing w:before="0" w:after="0" w:line="240" w:lineRule="auto"/>
        <w:ind w:left="0" w:firstLine="0"/>
      </w:pPr>
      <w:r w:rsidRPr="00340947"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817427</wp:posOffset>
            </wp:positionH>
            <wp:positionV relativeFrom="paragraph">
              <wp:posOffset>5027</wp:posOffset>
            </wp:positionV>
            <wp:extent cx="3383136" cy="645459"/>
            <wp:effectExtent l="19050" t="0" r="7764" b="0"/>
            <wp:wrapNone/>
            <wp:docPr id="8" name="Ké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9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36" cy="645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0947" w:rsidRDefault="00340947" w:rsidP="00314CB6">
      <w:pPr>
        <w:spacing w:before="0" w:after="0" w:line="240" w:lineRule="auto"/>
        <w:ind w:left="0" w:firstLine="0"/>
      </w:pPr>
    </w:p>
    <w:p w:rsidR="00340947" w:rsidRDefault="00340947" w:rsidP="00314CB6">
      <w:pPr>
        <w:spacing w:before="0" w:after="0" w:line="240" w:lineRule="auto"/>
        <w:ind w:left="0" w:firstLine="0"/>
      </w:pPr>
    </w:p>
    <w:p w:rsidR="00340947" w:rsidRDefault="00340947" w:rsidP="00314CB6">
      <w:pPr>
        <w:spacing w:before="0" w:after="0" w:line="240" w:lineRule="auto"/>
        <w:ind w:left="0" w:firstLine="0"/>
      </w:pPr>
    </w:p>
    <w:p w:rsidR="00340947" w:rsidRDefault="00340947" w:rsidP="00314CB6">
      <w:pPr>
        <w:spacing w:before="0" w:after="0" w:line="240" w:lineRule="auto"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A csomagoló</w:t>
            </w:r>
            <w:r w:rsidRPr="00340947">
              <w:rPr>
                <w:b/>
                <w:bCs/>
                <w:sz w:val="18"/>
              </w:rPr>
              <w:t>anyag fajtája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  <w:sz w:val="18"/>
              </w:rPr>
            </w:pPr>
            <w:r w:rsidRPr="00340947">
              <w:rPr>
                <w:b/>
                <w:bCs/>
                <w:sz w:val="18"/>
              </w:rPr>
              <w:t>Kollektív termékdíj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  <w:sz w:val="18"/>
              </w:rPr>
            </w:pPr>
            <w:r w:rsidRPr="00340947">
              <w:rPr>
                <w:b/>
                <w:bCs/>
                <w:sz w:val="18"/>
              </w:rPr>
              <w:t xml:space="preserve">Egyéni termékdíj </w:t>
            </w:r>
            <w:r w:rsidRPr="00340947">
              <w:rPr>
                <w:b/>
                <w:bCs/>
                <w:sz w:val="18"/>
              </w:rPr>
              <w:br/>
              <w:t>100%-os hasznosításnál.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  <w:sz w:val="18"/>
              </w:rPr>
            </w:pPr>
            <w:r w:rsidRPr="00340947">
              <w:rPr>
                <w:b/>
                <w:bCs/>
                <w:sz w:val="18"/>
              </w:rPr>
              <w:t xml:space="preserve">Ráfordítás hasznosított mennyiség szerint, </w:t>
            </w:r>
            <w:r w:rsidRPr="00340947">
              <w:rPr>
                <w:b/>
                <w:bCs/>
                <w:sz w:val="18"/>
              </w:rPr>
              <w:br/>
              <w:t>100%-os hasznosításnál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  <w:sz w:val="18"/>
              </w:rPr>
            </w:pPr>
            <w:r w:rsidRPr="00340947">
              <w:rPr>
                <w:b/>
                <w:bCs/>
                <w:sz w:val="18"/>
              </w:rPr>
              <w:t>H</w:t>
            </w:r>
            <w:r w:rsidRPr="00340947">
              <w:rPr>
                <w:b/>
                <w:bCs/>
                <w:sz w:val="18"/>
                <w:vertAlign w:val="subscript"/>
              </w:rPr>
              <w:t>eössz</w:t>
            </w:r>
            <w:r w:rsidRPr="00340947">
              <w:rPr>
                <w:b/>
                <w:bCs/>
                <w:sz w:val="18"/>
              </w:rPr>
              <w:t>/T</w:t>
            </w:r>
            <w:r w:rsidRPr="00340947">
              <w:rPr>
                <w:b/>
                <w:bCs/>
                <w:sz w:val="18"/>
                <w:vertAlign w:val="subscript"/>
              </w:rPr>
              <w:t>k</w:t>
            </w:r>
          </w:p>
        </w:tc>
      </w:tr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947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  <w:r w:rsidRPr="00340947">
              <w:rPr>
                <w:b/>
                <w:bCs/>
              </w:rPr>
              <w:t>T</w:t>
            </w:r>
            <w:r w:rsidRPr="00340947">
              <w:rPr>
                <w:b/>
                <w:bCs/>
                <w:vertAlign w:val="subscript"/>
              </w:rPr>
              <w:t>k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  <w:r w:rsidRPr="00340947">
              <w:rPr>
                <w:b/>
                <w:bCs/>
              </w:rPr>
              <w:t>T</w:t>
            </w:r>
            <w:r w:rsidRPr="00340947">
              <w:rPr>
                <w:b/>
                <w:bCs/>
                <w:vertAlign w:val="subscript"/>
              </w:rPr>
              <w:t>e100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  <w:r w:rsidRPr="00340947">
              <w:rPr>
                <w:b/>
                <w:bCs/>
              </w:rPr>
              <w:t>H</w:t>
            </w:r>
            <w:r w:rsidRPr="00340947">
              <w:rPr>
                <w:b/>
                <w:bCs/>
                <w:vertAlign w:val="subscript"/>
              </w:rPr>
              <w:t>eössz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947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947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  <w:r w:rsidRPr="00340947">
              <w:rPr>
                <w:b/>
                <w:bCs/>
              </w:rPr>
              <w:t>Ft/kg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  <w:r w:rsidRPr="00340947">
              <w:rPr>
                <w:b/>
                <w:bCs/>
              </w:rPr>
              <w:t>Ft/kg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  <w:r w:rsidRPr="00340947">
              <w:rPr>
                <w:b/>
                <w:bCs/>
              </w:rPr>
              <w:t>Ft/kg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b/>
              </w:rPr>
            </w:pPr>
            <w:r w:rsidRPr="00340947">
              <w:rPr>
                <w:b/>
                <w:bCs/>
              </w:rPr>
              <w:t>%</w:t>
            </w:r>
          </w:p>
        </w:tc>
      </w:tr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</w:pPr>
            <w:r w:rsidRPr="00340947">
              <w:t xml:space="preserve">papír 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19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9,53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17,95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94,47 %</w:t>
            </w:r>
          </w:p>
        </w:tc>
      </w:tr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</w:pPr>
            <w:r w:rsidRPr="00340947">
              <w:t xml:space="preserve">fa 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19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6,34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18,34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96,52 %</w:t>
            </w:r>
          </w:p>
        </w:tc>
      </w:tr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</w:pPr>
            <w:r w:rsidRPr="00340947">
              <w:t xml:space="preserve">fém 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19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7,34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18,50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97,37 %</w:t>
            </w:r>
          </w:p>
        </w:tc>
      </w:tr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</w:pPr>
            <w:r w:rsidRPr="00340947">
              <w:t xml:space="preserve">üveg 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19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0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18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94,74%</w:t>
            </w:r>
          </w:p>
        </w:tc>
      </w:tr>
      <w:tr w:rsidR="00340947" w:rsidRPr="00340947" w:rsidTr="00340947">
        <w:trPr>
          <w:trHeight w:val="454"/>
        </w:trPr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</w:pPr>
            <w:r w:rsidRPr="00340947">
              <w:t xml:space="preserve">műanyag, társított egyéb 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57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13,48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54,88</w:t>
            </w:r>
          </w:p>
        </w:tc>
        <w:tc>
          <w:tcPr>
            <w:tcW w:w="1000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</w:pPr>
            <w:r w:rsidRPr="00340947">
              <w:t>96,28%</w:t>
            </w:r>
          </w:p>
        </w:tc>
      </w:tr>
    </w:tbl>
    <w:p w:rsidR="00340947" w:rsidRDefault="00340947" w:rsidP="00314CB6">
      <w:pPr>
        <w:spacing w:before="0" w:after="0" w:line="240" w:lineRule="auto"/>
        <w:ind w:left="0" w:firstLine="0"/>
      </w:pPr>
    </w:p>
    <w:p w:rsidR="00340947" w:rsidRDefault="00340947">
      <w:pPr>
        <w:spacing w:after="240" w:line="23" w:lineRule="atLeast"/>
      </w:pPr>
      <w:r>
        <w:br w:type="page"/>
      </w:r>
    </w:p>
    <w:p w:rsidR="00340947" w:rsidRPr="00340947" w:rsidRDefault="00751899" w:rsidP="00340947">
      <w:pPr>
        <w:spacing w:before="0" w:after="0" w:line="240" w:lineRule="auto"/>
        <w:ind w:left="0" w:firstLine="0"/>
        <w:jc w:val="left"/>
      </w:pPr>
      <w:r>
        <w:lastRenderedPageBreak/>
        <w:t>11. s</w:t>
      </w:r>
      <w:r w:rsidR="00340947" w:rsidRPr="00340947">
        <w:t xml:space="preserve">zámú melléklet: </w:t>
      </w:r>
      <w:r w:rsidR="00340947" w:rsidRPr="00340947">
        <w:rPr>
          <w:bCs/>
        </w:rPr>
        <w:t>Költségvetési hatások vizsgálata</w:t>
      </w:r>
    </w:p>
    <w:p w:rsidR="00340947" w:rsidRDefault="00340947" w:rsidP="00314CB6">
      <w:pPr>
        <w:spacing w:before="0" w:after="0" w:line="240" w:lineRule="auto"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241"/>
        <w:gridCol w:w="1241"/>
        <w:gridCol w:w="1241"/>
        <w:gridCol w:w="1241"/>
        <w:gridCol w:w="1241"/>
        <w:gridCol w:w="1239"/>
      </w:tblGrid>
      <w:tr w:rsidR="00340947" w:rsidRPr="00340947" w:rsidTr="00874F89">
        <w:trPr>
          <w:trHeight w:val="1276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Anyagáram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Termékdíj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Haszno</w:t>
            </w:r>
            <w:r w:rsidR="00874F89">
              <w:rPr>
                <w:b/>
                <w:bCs/>
                <w:sz w:val="18"/>
                <w:szCs w:val="18"/>
              </w:rPr>
              <w:t>sított mennyiség szerinti ráfor</w:t>
            </w:r>
            <w:r w:rsidRPr="00340947">
              <w:rPr>
                <w:b/>
                <w:bCs/>
                <w:sz w:val="18"/>
                <w:szCs w:val="18"/>
              </w:rPr>
              <w:t>dítás és adminisztrációs díj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Termékdíj fizetési kötelezettség 100%-os egyéni teljesítésnél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Költségvetési változás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Kollektív hasznosítás esetén 10%-os áttérési arány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 xml:space="preserve">Költségvetési változás </w:t>
            </w:r>
            <w:r w:rsidRPr="00340947">
              <w:rPr>
                <w:b/>
                <w:bCs/>
                <w:sz w:val="18"/>
                <w:szCs w:val="18"/>
              </w:rPr>
              <w:br/>
              <w:t>10%os áttérés esetén</w:t>
            </w:r>
          </w:p>
        </w:tc>
      </w:tr>
      <w:tr w:rsidR="00340947" w:rsidRPr="00340947" w:rsidTr="00874F89">
        <w:trPr>
          <w:trHeight w:val="397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8E73BF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(Ft/kg)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K</w:t>
            </w:r>
            <w:r w:rsidRPr="00340947">
              <w:rPr>
                <w:sz w:val="18"/>
                <w:szCs w:val="18"/>
                <w:vertAlign w:val="subscript"/>
              </w:rPr>
              <w:t>e</w:t>
            </w:r>
            <w:r w:rsidRPr="00340947">
              <w:rPr>
                <w:sz w:val="18"/>
                <w:szCs w:val="18"/>
              </w:rPr>
              <w:t xml:space="preserve"> (Ft/kg)+2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(Ft)/kg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Ft/kg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kg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Ft</w:t>
            </w:r>
          </w:p>
        </w:tc>
      </w:tr>
      <w:tr w:rsidR="00340947" w:rsidRPr="00340947" w:rsidTr="00874F89">
        <w:trPr>
          <w:trHeight w:val="397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Papír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19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8,42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9,53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874F89" w:rsidRDefault="00340947" w:rsidP="00340947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-1,05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27 550 000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874F89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-28 927 500</w:t>
            </w:r>
          </w:p>
        </w:tc>
      </w:tr>
      <w:tr w:rsidR="00340947" w:rsidRPr="00340947" w:rsidTr="00874F89">
        <w:trPr>
          <w:trHeight w:val="397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Fa, természetes alapú anyag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19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12,00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6,34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874F89" w:rsidRDefault="00340947" w:rsidP="00340947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-0,66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3 010 000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874F89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-1 986 600</w:t>
            </w:r>
          </w:p>
        </w:tc>
      </w:tr>
      <w:tr w:rsidR="00340947" w:rsidRPr="00340947" w:rsidTr="00874F89">
        <w:trPr>
          <w:trHeight w:val="397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Fém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19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11,16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7,34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874F89" w:rsidRDefault="00340947" w:rsidP="00340947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-0,50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215 000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874F89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-107 500</w:t>
            </w:r>
          </w:p>
        </w:tc>
      </w:tr>
      <w:tr w:rsidR="00340947" w:rsidRPr="00340947" w:rsidTr="00874F89">
        <w:trPr>
          <w:trHeight w:val="397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Üveg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19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18,00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-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874F89" w:rsidRDefault="00340947" w:rsidP="00340947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-1,00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5 670 000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874F89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-5 670 000</w:t>
            </w:r>
          </w:p>
        </w:tc>
      </w:tr>
      <w:tr w:rsidR="00340947" w:rsidRPr="00340947" w:rsidTr="00874F89">
        <w:trPr>
          <w:trHeight w:val="510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Társított (kivéve társított rétegzett italkarton)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57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41,40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13,48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874F89" w:rsidRDefault="00340947" w:rsidP="00340947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-2,12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265 000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874F89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-561 800</w:t>
            </w:r>
          </w:p>
        </w:tc>
      </w:tr>
      <w:tr w:rsidR="00340947" w:rsidRPr="00340947" w:rsidTr="00874F89">
        <w:trPr>
          <w:trHeight w:val="510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Műanyag - a műanyag bevásárló - reklám táska kivételével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57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41,40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13,48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874F89" w:rsidRDefault="00340947" w:rsidP="00340947">
            <w:pPr>
              <w:spacing w:before="0" w:after="0" w:line="240" w:lineRule="auto"/>
              <w:ind w:left="0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-2,12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7 033 000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874F89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-14 909 960</w:t>
            </w:r>
          </w:p>
        </w:tc>
      </w:tr>
      <w:tr w:rsidR="00340947" w:rsidRPr="00340947" w:rsidTr="00874F89">
        <w:trPr>
          <w:trHeight w:val="510"/>
        </w:trPr>
        <w:tc>
          <w:tcPr>
            <w:tcW w:w="993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3BF" w:rsidRPr="00340947" w:rsidRDefault="00340947" w:rsidP="00340947">
            <w:pP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340947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947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947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947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947" w:rsidRPr="00340947" w:rsidRDefault="00340947" w:rsidP="00340947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340947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sz w:val="18"/>
                <w:szCs w:val="18"/>
              </w:rPr>
            </w:pPr>
            <w:r w:rsidRPr="00340947">
              <w:rPr>
                <w:sz w:val="18"/>
                <w:szCs w:val="18"/>
              </w:rPr>
              <w:t>43 743 000</w:t>
            </w:r>
          </w:p>
        </w:tc>
        <w:tc>
          <w:tcPr>
            <w:tcW w:w="668" w:type="pct"/>
            <w:shd w:val="clear" w:color="auto" w:fill="auto"/>
            <w:tcMar>
              <w:top w:w="12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8E73BF" w:rsidRPr="00874F89" w:rsidRDefault="00340947" w:rsidP="00874F89">
            <w:pPr>
              <w:spacing w:before="0" w:after="0" w:line="240" w:lineRule="auto"/>
              <w:ind w:left="0" w:right="-464" w:firstLine="0"/>
              <w:jc w:val="center"/>
              <w:rPr>
                <w:color w:val="C00000"/>
                <w:sz w:val="18"/>
                <w:szCs w:val="18"/>
              </w:rPr>
            </w:pPr>
            <w:r w:rsidRPr="00874F89">
              <w:rPr>
                <w:color w:val="C00000"/>
                <w:sz w:val="18"/>
                <w:szCs w:val="18"/>
              </w:rPr>
              <w:t>-52 163 360</w:t>
            </w:r>
          </w:p>
        </w:tc>
      </w:tr>
    </w:tbl>
    <w:p w:rsidR="00340947" w:rsidRDefault="00340947" w:rsidP="00314CB6">
      <w:pPr>
        <w:spacing w:before="0" w:after="0" w:line="240" w:lineRule="auto"/>
        <w:ind w:left="0" w:firstLine="0"/>
      </w:pPr>
    </w:p>
    <w:p w:rsidR="00874F89" w:rsidRPr="00874F89" w:rsidRDefault="00874F89" w:rsidP="00874F89">
      <w:pPr>
        <w:spacing w:before="0" w:after="0" w:line="240" w:lineRule="auto"/>
        <w:ind w:left="0" w:firstLine="0"/>
      </w:pPr>
      <w:r w:rsidRPr="00874F89">
        <w:t xml:space="preserve">A 10%-os arányú áttérés 100%-os teljesítési hányad esetén biztosítaná országos szinten az EU recycling kvótájának teljesítését. </w:t>
      </w:r>
    </w:p>
    <w:p w:rsidR="00340947" w:rsidRDefault="00340947" w:rsidP="00314CB6">
      <w:pPr>
        <w:spacing w:before="0" w:after="0" w:line="240" w:lineRule="auto"/>
        <w:ind w:left="0" w:firstLine="0"/>
      </w:pPr>
    </w:p>
    <w:p w:rsidR="00340947" w:rsidRDefault="00340947" w:rsidP="00314CB6">
      <w:pPr>
        <w:spacing w:before="0" w:after="0" w:line="240" w:lineRule="auto"/>
        <w:ind w:left="0" w:firstLine="0"/>
      </w:pPr>
    </w:p>
    <w:sectPr w:rsidR="00340947" w:rsidSect="008D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40CC"/>
    <w:multiLevelType w:val="hybridMultilevel"/>
    <w:tmpl w:val="AA40049E"/>
    <w:lvl w:ilvl="0" w:tplc="00143D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800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01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A7F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298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E8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A2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C7A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70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2E"/>
    <w:rsid w:val="00062E2E"/>
    <w:rsid w:val="0026276B"/>
    <w:rsid w:val="00314CB6"/>
    <w:rsid w:val="00340947"/>
    <w:rsid w:val="003648F0"/>
    <w:rsid w:val="004C36C6"/>
    <w:rsid w:val="005155D6"/>
    <w:rsid w:val="005B66F2"/>
    <w:rsid w:val="0069783A"/>
    <w:rsid w:val="00751899"/>
    <w:rsid w:val="00765378"/>
    <w:rsid w:val="007E6661"/>
    <w:rsid w:val="008641D5"/>
    <w:rsid w:val="00866042"/>
    <w:rsid w:val="00874F89"/>
    <w:rsid w:val="00891CCB"/>
    <w:rsid w:val="008C472F"/>
    <w:rsid w:val="008D35E4"/>
    <w:rsid w:val="008E73BF"/>
    <w:rsid w:val="008E76A5"/>
    <w:rsid w:val="00A0367E"/>
    <w:rsid w:val="00B03D55"/>
    <w:rsid w:val="00B26ABC"/>
    <w:rsid w:val="00B6784B"/>
    <w:rsid w:val="00B756DA"/>
    <w:rsid w:val="00BA7D8B"/>
    <w:rsid w:val="00C759FF"/>
    <w:rsid w:val="00E24321"/>
    <w:rsid w:val="00E26E1D"/>
    <w:rsid w:val="00ED3458"/>
    <w:rsid w:val="00F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before="240" w:after="240" w:line="23" w:lineRule="atLeast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1D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8641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641D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367E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8641D5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theme="minorBidi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367E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367E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367E"/>
    <w:pPr>
      <w:spacing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367E"/>
    <w:pPr>
      <w:spacing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367E"/>
    <w:pPr>
      <w:spacing w:after="60"/>
      <w:outlineLvl w:val="8"/>
    </w:pPr>
    <w:rPr>
      <w:rFonts w:asciiTheme="majorHAnsi" w:eastAsiaTheme="majorEastAsia" w:hAnsiTheme="majorHAnsi" w:cstheme="maj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41D5"/>
    <w:rPr>
      <w:rFonts w:ascii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8641D5"/>
    <w:rPr>
      <w:rFonts w:ascii="Cambria" w:hAnsi="Cambria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367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8641D5"/>
    <w:rPr>
      <w:rFonts w:ascii="Times New Roman" w:eastAsiaTheme="minorEastAsia" w:hAnsi="Times New Roman" w:cstheme="minorBidi"/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367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367E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367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367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367E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0367E"/>
    <w:rPr>
      <w:b/>
      <w:bCs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866042"/>
    <w:pPr>
      <w:spacing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A0367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A0367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0367E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Kiemels2">
    <w:name w:val="Strong"/>
    <w:basedOn w:val="Bekezdsalapbettpusa"/>
    <w:uiPriority w:val="22"/>
    <w:qFormat/>
    <w:rsid w:val="008641D5"/>
    <w:rPr>
      <w:b/>
      <w:bCs/>
    </w:rPr>
  </w:style>
  <w:style w:type="character" w:styleId="Kiemels">
    <w:name w:val="Emphasis"/>
    <w:basedOn w:val="Bekezdsalapbettpusa"/>
    <w:uiPriority w:val="20"/>
    <w:qFormat/>
    <w:rsid w:val="00A0367E"/>
    <w:rPr>
      <w:i/>
      <w:iCs/>
    </w:rPr>
  </w:style>
  <w:style w:type="paragraph" w:styleId="Nincstrkz">
    <w:name w:val="No Spacing"/>
    <w:uiPriority w:val="1"/>
    <w:qFormat/>
    <w:rsid w:val="008641D5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0367E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0367E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0367E"/>
    <w:rPr>
      <w:i/>
      <w:iCs/>
      <w:color w:val="000000" w:themeColor="text1"/>
      <w:sz w:val="22"/>
      <w:szCs w:val="2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36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367E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19"/>
    <w:qFormat/>
    <w:rsid w:val="00A0367E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A0367E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0367E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0367E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0367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0367E"/>
    <w:pPr>
      <w:keepNext/>
      <w:spacing w:before="240" w:beforeAutospacing="0" w:after="60" w:afterAutospacing="0" w:line="276" w:lineRule="auto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en-US"/>
    </w:rPr>
  </w:style>
  <w:style w:type="paragraph" w:customStyle="1" w:styleId="datumnak">
    <w:name w:val="datumnak"/>
    <w:basedOn w:val="Norml"/>
    <w:link w:val="datumnakChar"/>
    <w:rsid w:val="00A0367E"/>
    <w:rPr>
      <w:i/>
      <w:sz w:val="20"/>
      <w:szCs w:val="20"/>
    </w:rPr>
  </w:style>
  <w:style w:type="character" w:customStyle="1" w:styleId="datumnakChar">
    <w:name w:val="datumnak Char"/>
    <w:basedOn w:val="Bekezdsalapbettpusa"/>
    <w:link w:val="datumnak"/>
    <w:rsid w:val="00A0367E"/>
    <w:rPr>
      <w:i/>
      <w:lang w:val="en-US" w:eastAsia="en-US" w:bidi="en-US"/>
    </w:rPr>
  </w:style>
  <w:style w:type="table" w:styleId="Rcsostblzat">
    <w:name w:val="Table Grid"/>
    <w:basedOn w:val="Normltblzat"/>
    <w:uiPriority w:val="59"/>
    <w:rsid w:val="00B6784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before="240" w:after="240" w:line="23" w:lineRule="atLeast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1D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8641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641D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367E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8641D5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theme="minorBidi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367E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367E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367E"/>
    <w:pPr>
      <w:spacing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367E"/>
    <w:pPr>
      <w:spacing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367E"/>
    <w:pPr>
      <w:spacing w:after="60"/>
      <w:outlineLvl w:val="8"/>
    </w:pPr>
    <w:rPr>
      <w:rFonts w:asciiTheme="majorHAnsi" w:eastAsiaTheme="majorEastAsia" w:hAnsiTheme="majorHAnsi" w:cstheme="maj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41D5"/>
    <w:rPr>
      <w:rFonts w:ascii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8641D5"/>
    <w:rPr>
      <w:rFonts w:ascii="Cambria" w:hAnsi="Cambria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367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8641D5"/>
    <w:rPr>
      <w:rFonts w:ascii="Times New Roman" w:eastAsiaTheme="minorEastAsia" w:hAnsi="Times New Roman" w:cstheme="minorBidi"/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367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367E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367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367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367E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0367E"/>
    <w:rPr>
      <w:b/>
      <w:bCs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866042"/>
    <w:pPr>
      <w:spacing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A0367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A0367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0367E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Kiemels2">
    <w:name w:val="Strong"/>
    <w:basedOn w:val="Bekezdsalapbettpusa"/>
    <w:uiPriority w:val="22"/>
    <w:qFormat/>
    <w:rsid w:val="008641D5"/>
    <w:rPr>
      <w:b/>
      <w:bCs/>
    </w:rPr>
  </w:style>
  <w:style w:type="character" w:styleId="Kiemels">
    <w:name w:val="Emphasis"/>
    <w:basedOn w:val="Bekezdsalapbettpusa"/>
    <w:uiPriority w:val="20"/>
    <w:qFormat/>
    <w:rsid w:val="00A0367E"/>
    <w:rPr>
      <w:i/>
      <w:iCs/>
    </w:rPr>
  </w:style>
  <w:style w:type="paragraph" w:styleId="Nincstrkz">
    <w:name w:val="No Spacing"/>
    <w:uiPriority w:val="1"/>
    <w:qFormat/>
    <w:rsid w:val="008641D5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0367E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0367E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0367E"/>
    <w:rPr>
      <w:i/>
      <w:iCs/>
      <w:color w:val="000000" w:themeColor="text1"/>
      <w:sz w:val="22"/>
      <w:szCs w:val="2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36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367E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19"/>
    <w:qFormat/>
    <w:rsid w:val="00A0367E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A0367E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0367E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0367E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0367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0367E"/>
    <w:pPr>
      <w:keepNext/>
      <w:spacing w:before="240" w:beforeAutospacing="0" w:after="60" w:afterAutospacing="0" w:line="276" w:lineRule="auto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en-US"/>
    </w:rPr>
  </w:style>
  <w:style w:type="paragraph" w:customStyle="1" w:styleId="datumnak">
    <w:name w:val="datumnak"/>
    <w:basedOn w:val="Norml"/>
    <w:link w:val="datumnakChar"/>
    <w:rsid w:val="00A0367E"/>
    <w:rPr>
      <w:i/>
      <w:sz w:val="20"/>
      <w:szCs w:val="20"/>
    </w:rPr>
  </w:style>
  <w:style w:type="character" w:customStyle="1" w:styleId="datumnakChar">
    <w:name w:val="datumnak Char"/>
    <w:basedOn w:val="Bekezdsalapbettpusa"/>
    <w:link w:val="datumnak"/>
    <w:rsid w:val="00A0367E"/>
    <w:rPr>
      <w:i/>
      <w:lang w:val="en-US" w:eastAsia="en-US" w:bidi="en-US"/>
    </w:rPr>
  </w:style>
  <w:style w:type="table" w:styleId="Rcsostblzat">
    <w:name w:val="Table Grid"/>
    <w:basedOn w:val="Normltblzat"/>
    <w:uiPriority w:val="59"/>
    <w:rsid w:val="00B6784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320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524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FM</cp:lastModifiedBy>
  <cp:revision>2</cp:revision>
  <dcterms:created xsi:type="dcterms:W3CDTF">2016-12-08T10:55:00Z</dcterms:created>
  <dcterms:modified xsi:type="dcterms:W3CDTF">2016-12-08T10:55:00Z</dcterms:modified>
</cp:coreProperties>
</file>