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3" w:rsidRDefault="000A6143" w:rsidP="000A6143">
      <w:pPr>
        <w:spacing w:line="360" w:lineRule="auto"/>
        <w:jc w:val="center"/>
        <w:rPr>
          <w:b/>
          <w:sz w:val="28"/>
          <w:szCs w:val="28"/>
        </w:rPr>
      </w:pPr>
      <w:r w:rsidRPr="000A6143">
        <w:rPr>
          <w:b/>
          <w:sz w:val="28"/>
          <w:szCs w:val="28"/>
        </w:rPr>
        <w:t>Az O</w:t>
      </w:r>
      <w:r w:rsidR="00E45155">
        <w:rPr>
          <w:b/>
          <w:sz w:val="28"/>
          <w:szCs w:val="28"/>
        </w:rPr>
        <w:t xml:space="preserve">rszágos </w:t>
      </w:r>
      <w:r w:rsidRPr="000A6143">
        <w:rPr>
          <w:b/>
          <w:sz w:val="28"/>
          <w:szCs w:val="28"/>
        </w:rPr>
        <w:t>K</w:t>
      </w:r>
      <w:r w:rsidR="00E45155">
        <w:rPr>
          <w:b/>
          <w:sz w:val="28"/>
          <w:szCs w:val="28"/>
        </w:rPr>
        <w:t xml:space="preserve">örnyezetvédelmi </w:t>
      </w:r>
      <w:r w:rsidRPr="000A6143">
        <w:rPr>
          <w:b/>
          <w:sz w:val="28"/>
          <w:szCs w:val="28"/>
        </w:rPr>
        <w:t>T</w:t>
      </w:r>
      <w:r w:rsidR="00E45155">
        <w:rPr>
          <w:b/>
          <w:sz w:val="28"/>
          <w:szCs w:val="28"/>
        </w:rPr>
        <w:t>anács</w:t>
      </w:r>
      <w:r w:rsidRPr="000A6143">
        <w:rPr>
          <w:b/>
          <w:sz w:val="28"/>
          <w:szCs w:val="28"/>
        </w:rPr>
        <w:t xml:space="preserve"> </w:t>
      </w:r>
      <w:r w:rsidR="00F719CD">
        <w:rPr>
          <w:b/>
          <w:sz w:val="28"/>
          <w:szCs w:val="28"/>
        </w:rPr>
        <w:t>állásfoglalása</w:t>
      </w:r>
      <w:r w:rsidR="00E45155">
        <w:rPr>
          <w:b/>
          <w:sz w:val="28"/>
          <w:szCs w:val="28"/>
        </w:rPr>
        <w:t xml:space="preserve"> az </w:t>
      </w:r>
    </w:p>
    <w:p w:rsidR="00F719CD" w:rsidRPr="00F719CD" w:rsidRDefault="00E45155" w:rsidP="00E45155">
      <w:pPr>
        <w:spacing w:line="360" w:lineRule="auto"/>
        <w:jc w:val="center"/>
        <w:rPr>
          <w:b/>
          <w:sz w:val="28"/>
          <w:szCs w:val="28"/>
        </w:rPr>
      </w:pPr>
      <w:r w:rsidRPr="00E45155">
        <w:rPr>
          <w:b/>
          <w:sz w:val="28"/>
          <w:szCs w:val="28"/>
        </w:rPr>
        <w:t>Energia- és Klímatudatossági Szemlé</w:t>
      </w:r>
      <w:r>
        <w:rPr>
          <w:b/>
          <w:sz w:val="28"/>
          <w:szCs w:val="28"/>
        </w:rPr>
        <w:t>letformálási Cselekvési Tervről</w:t>
      </w:r>
    </w:p>
    <w:p w:rsidR="00F719CD" w:rsidRDefault="00F719CD" w:rsidP="002D404A">
      <w:pPr>
        <w:spacing w:after="160" w:line="259" w:lineRule="auto"/>
        <w:jc w:val="both"/>
        <w:rPr>
          <w:rFonts w:eastAsia="Calibri"/>
          <w:szCs w:val="24"/>
          <w:lang w:eastAsia="en-US"/>
        </w:rPr>
      </w:pPr>
    </w:p>
    <w:p w:rsidR="00F719CD" w:rsidRDefault="00F719CD" w:rsidP="002D404A">
      <w:pPr>
        <w:jc w:val="both"/>
        <w:rPr>
          <w:color w:val="000000"/>
          <w:szCs w:val="24"/>
        </w:rPr>
      </w:pPr>
      <w:r>
        <w:rPr>
          <w:color w:val="000000"/>
          <w:szCs w:val="24"/>
        </w:rPr>
        <w:t xml:space="preserve">Az Országos Környezetvédelmi Tanács köszönettel fogadta a véleményezésre megküldött </w:t>
      </w:r>
      <w:r w:rsidR="00E45155">
        <w:rPr>
          <w:color w:val="000000"/>
          <w:szCs w:val="24"/>
        </w:rPr>
        <w:t>Energia- és Klímatudatossági Szemléletformálási Cselekvési T</w:t>
      </w:r>
      <w:r w:rsidRPr="00F719CD">
        <w:rPr>
          <w:color w:val="000000"/>
          <w:szCs w:val="24"/>
        </w:rPr>
        <w:t>erv</w:t>
      </w:r>
      <w:r>
        <w:rPr>
          <w:color w:val="000000"/>
          <w:szCs w:val="24"/>
        </w:rPr>
        <w:t xml:space="preserve">et (a továbbiakban: </w:t>
      </w:r>
      <w:r w:rsidRPr="000479F1">
        <w:rPr>
          <w:color w:val="000000"/>
          <w:szCs w:val="24"/>
        </w:rPr>
        <w:t>Cselekvési Terv</w:t>
      </w:r>
      <w:r>
        <w:rPr>
          <w:color w:val="000000"/>
          <w:szCs w:val="24"/>
        </w:rPr>
        <w:t xml:space="preserve">). A Tanács 2014. december 4-i plenáris ülésén a </w:t>
      </w:r>
      <w:r w:rsidRPr="000479F1">
        <w:rPr>
          <w:color w:val="000000"/>
          <w:szCs w:val="24"/>
        </w:rPr>
        <w:t>Cselekvési Terv</w:t>
      </w:r>
      <w:r>
        <w:rPr>
          <w:color w:val="000000"/>
          <w:szCs w:val="24"/>
        </w:rPr>
        <w:t>et megtárgyalta, és arról az alábbi állásfoglalást alakította ki.</w:t>
      </w:r>
    </w:p>
    <w:p w:rsidR="00F719CD" w:rsidRDefault="00F719CD" w:rsidP="002D404A">
      <w:pPr>
        <w:jc w:val="both"/>
        <w:rPr>
          <w:color w:val="000000"/>
          <w:szCs w:val="24"/>
        </w:rPr>
      </w:pPr>
    </w:p>
    <w:p w:rsidR="004215DC" w:rsidRDefault="004215DC" w:rsidP="002D404A">
      <w:pPr>
        <w:jc w:val="both"/>
        <w:rPr>
          <w:color w:val="000000"/>
          <w:szCs w:val="24"/>
        </w:rPr>
      </w:pPr>
      <w:r>
        <w:rPr>
          <w:color w:val="000000"/>
          <w:szCs w:val="24"/>
        </w:rPr>
        <w:t xml:space="preserve">A Tanács alapvetően egyetért a </w:t>
      </w:r>
      <w:r w:rsidRPr="000479F1">
        <w:rPr>
          <w:color w:val="000000"/>
          <w:szCs w:val="24"/>
        </w:rPr>
        <w:t>Cselekvési Terv</w:t>
      </w:r>
      <w:r>
        <w:rPr>
          <w:color w:val="000000"/>
          <w:szCs w:val="24"/>
        </w:rPr>
        <w:t xml:space="preserve"> által deklarált szemléletmód kialakításának szükségességével, valamint számos megállapítással és előremutató intézkedéssel. </w:t>
      </w:r>
      <w:r w:rsidR="008A5255">
        <w:rPr>
          <w:color w:val="000000"/>
          <w:szCs w:val="24"/>
        </w:rPr>
        <w:t>Így például az OKT is szorgalmazza annak elérését, hogy a lakosság a klímaváltozás elleni küzdelem aktív szereplőjének érezze magát, és személyes ügyként kezelje a Cselekvési Terv által orvosolni kívánt problémaköröket.</w:t>
      </w:r>
    </w:p>
    <w:p w:rsidR="004215DC" w:rsidRDefault="004215DC" w:rsidP="002D404A">
      <w:pPr>
        <w:jc w:val="both"/>
        <w:rPr>
          <w:color w:val="000000"/>
          <w:szCs w:val="24"/>
        </w:rPr>
      </w:pPr>
    </w:p>
    <w:p w:rsidR="002D404A" w:rsidRDefault="00F719CD" w:rsidP="002D404A">
      <w:pPr>
        <w:jc w:val="both"/>
        <w:rPr>
          <w:color w:val="000000"/>
          <w:szCs w:val="24"/>
        </w:rPr>
      </w:pPr>
      <w:r>
        <w:rPr>
          <w:color w:val="000000"/>
          <w:szCs w:val="24"/>
        </w:rPr>
        <w:t xml:space="preserve">A </w:t>
      </w:r>
      <w:r w:rsidRPr="000479F1">
        <w:rPr>
          <w:color w:val="000000"/>
          <w:szCs w:val="24"/>
        </w:rPr>
        <w:t>T</w:t>
      </w:r>
      <w:r>
        <w:rPr>
          <w:color w:val="000000"/>
          <w:szCs w:val="24"/>
        </w:rPr>
        <w:t xml:space="preserve">anács kiemelten fontosnak tartja, hogy a </w:t>
      </w:r>
      <w:r w:rsidRPr="000479F1">
        <w:rPr>
          <w:color w:val="000000"/>
          <w:szCs w:val="24"/>
        </w:rPr>
        <w:t xml:space="preserve">Cselekvési Terv </w:t>
      </w:r>
      <w:r w:rsidR="00935D13" w:rsidRPr="00935D13">
        <w:rPr>
          <w:color w:val="000000"/>
          <w:szCs w:val="24"/>
        </w:rPr>
        <w:t xml:space="preserve">elsődleges prioritása az energiafelhasználás csökkentése </w:t>
      </w:r>
      <w:r w:rsidR="00935D13">
        <w:rPr>
          <w:color w:val="000000"/>
          <w:szCs w:val="24"/>
        </w:rPr>
        <w:t xml:space="preserve">legyen, és ez </w:t>
      </w:r>
      <w:r w:rsidRPr="000479F1">
        <w:rPr>
          <w:color w:val="000000"/>
          <w:szCs w:val="24"/>
        </w:rPr>
        <w:t xml:space="preserve">minden </w:t>
      </w:r>
      <w:r w:rsidR="00935D13">
        <w:rPr>
          <w:color w:val="000000"/>
          <w:szCs w:val="24"/>
        </w:rPr>
        <w:t xml:space="preserve">tervezett intézkedést hasson át (lásd </w:t>
      </w:r>
      <w:r w:rsidRPr="000479F1">
        <w:rPr>
          <w:color w:val="000000"/>
          <w:szCs w:val="24"/>
        </w:rPr>
        <w:t xml:space="preserve">az </w:t>
      </w:r>
      <w:r>
        <w:rPr>
          <w:color w:val="000000"/>
          <w:szCs w:val="24"/>
        </w:rPr>
        <w:t>OKT korábbi</w:t>
      </w:r>
      <w:r w:rsidRPr="000479F1">
        <w:rPr>
          <w:color w:val="000000"/>
          <w:szCs w:val="24"/>
        </w:rPr>
        <w:t xml:space="preserve"> állásfoglalás</w:t>
      </w:r>
      <w:r w:rsidR="00935D13">
        <w:rPr>
          <w:color w:val="000000"/>
          <w:szCs w:val="24"/>
        </w:rPr>
        <w:t>át</w:t>
      </w:r>
      <w:r w:rsidRPr="000479F1">
        <w:rPr>
          <w:rStyle w:val="Lbjegyzet-hivatkozs"/>
          <w:color w:val="000000"/>
          <w:szCs w:val="24"/>
        </w:rPr>
        <w:footnoteReference w:id="1"/>
      </w:r>
      <w:r w:rsidRPr="000479F1">
        <w:rPr>
          <w:color w:val="000000"/>
          <w:szCs w:val="24"/>
        </w:rPr>
        <w:t xml:space="preserve"> is</w:t>
      </w:r>
      <w:r w:rsidR="00935D13">
        <w:rPr>
          <w:color w:val="000000"/>
          <w:szCs w:val="24"/>
        </w:rPr>
        <w:t>)</w:t>
      </w:r>
      <w:r w:rsidRPr="000479F1">
        <w:rPr>
          <w:color w:val="000000"/>
          <w:szCs w:val="24"/>
        </w:rPr>
        <w:t>.</w:t>
      </w:r>
      <w:r w:rsidR="00935D13">
        <w:rPr>
          <w:color w:val="000000"/>
          <w:szCs w:val="24"/>
        </w:rPr>
        <w:t xml:space="preserve"> </w:t>
      </w:r>
      <w:r w:rsidR="003E38E1">
        <w:rPr>
          <w:color w:val="000000"/>
          <w:szCs w:val="24"/>
        </w:rPr>
        <w:t xml:space="preserve">A </w:t>
      </w:r>
      <w:r w:rsidR="003E38E1" w:rsidRPr="000479F1">
        <w:rPr>
          <w:color w:val="000000"/>
          <w:szCs w:val="24"/>
        </w:rPr>
        <w:t xml:space="preserve">Cselekvési </w:t>
      </w:r>
      <w:proofErr w:type="gramStart"/>
      <w:r w:rsidR="003E38E1" w:rsidRPr="000479F1">
        <w:rPr>
          <w:color w:val="000000"/>
          <w:szCs w:val="24"/>
        </w:rPr>
        <w:t>Terv</w:t>
      </w:r>
      <w:r w:rsidR="003E38E1">
        <w:rPr>
          <w:color w:val="000000"/>
          <w:szCs w:val="24"/>
        </w:rPr>
        <w:t>ben</w:t>
      </w:r>
      <w:proofErr w:type="gramEnd"/>
      <w:r w:rsidR="003E38E1">
        <w:rPr>
          <w:color w:val="000000"/>
          <w:szCs w:val="24"/>
        </w:rPr>
        <w:t xml:space="preserve"> szereplő tevékenységekben jelenleg nem látjuk ennek kellő mértékű érvényesülését. </w:t>
      </w:r>
    </w:p>
    <w:p w:rsidR="00F719CD" w:rsidRDefault="003E38E1" w:rsidP="002D404A">
      <w:pPr>
        <w:jc w:val="both"/>
        <w:rPr>
          <w:color w:val="000000"/>
          <w:szCs w:val="24"/>
        </w:rPr>
      </w:pPr>
      <w:r>
        <w:rPr>
          <w:color w:val="000000"/>
          <w:szCs w:val="24"/>
        </w:rPr>
        <w:t xml:space="preserve">Emellett szükségesnek látjuk, hogy a dokumentum egészét markánsan hassa át a rendszerszemléletű megközelítés. </w:t>
      </w:r>
      <w:r w:rsidR="00935D13">
        <w:rPr>
          <w:color w:val="000000"/>
          <w:szCs w:val="24"/>
        </w:rPr>
        <w:t>Szintén korábbi</w:t>
      </w:r>
      <w:r w:rsidR="00F719CD" w:rsidRPr="00935D13">
        <w:rPr>
          <w:color w:val="000000"/>
          <w:szCs w:val="24"/>
        </w:rPr>
        <w:t xml:space="preserve"> állásfoglalás</w:t>
      </w:r>
      <w:r w:rsidR="00935D13">
        <w:rPr>
          <w:color w:val="000000"/>
          <w:szCs w:val="24"/>
        </w:rPr>
        <w:t>unknak</w:t>
      </w:r>
      <w:r w:rsidR="00F719CD" w:rsidRPr="00935D13">
        <w:rPr>
          <w:rStyle w:val="Lbjegyzet-hivatkozs"/>
          <w:color w:val="000000"/>
          <w:szCs w:val="24"/>
        </w:rPr>
        <w:footnoteReference w:id="2"/>
      </w:r>
      <w:r w:rsidR="00F719CD" w:rsidRPr="00935D13">
        <w:rPr>
          <w:color w:val="000000"/>
          <w:szCs w:val="24"/>
        </w:rPr>
        <w:t xml:space="preserve"> </w:t>
      </w:r>
      <w:r w:rsidR="00935D13">
        <w:rPr>
          <w:color w:val="000000"/>
          <w:szCs w:val="24"/>
        </w:rPr>
        <w:t xml:space="preserve">megfelelően </w:t>
      </w:r>
      <w:r w:rsidR="00F719CD" w:rsidRPr="00935D13">
        <w:rPr>
          <w:color w:val="000000"/>
          <w:szCs w:val="24"/>
        </w:rPr>
        <w:t xml:space="preserve">szükségesnek tartjuk, hogy a szemléletformálás </w:t>
      </w:r>
      <w:r w:rsidR="00935D13" w:rsidRPr="00935D13">
        <w:rPr>
          <w:color w:val="000000"/>
          <w:szCs w:val="24"/>
        </w:rPr>
        <w:t xml:space="preserve">törekedjen </w:t>
      </w:r>
      <w:r w:rsidR="00F719CD" w:rsidRPr="00935D13">
        <w:rPr>
          <w:color w:val="000000"/>
          <w:szCs w:val="24"/>
        </w:rPr>
        <w:t xml:space="preserve">a fenntartható termelői </w:t>
      </w:r>
      <w:r w:rsidR="00935D13" w:rsidRPr="00935D13">
        <w:rPr>
          <w:color w:val="000000"/>
          <w:szCs w:val="24"/>
        </w:rPr>
        <w:t xml:space="preserve">és fogyasztói </w:t>
      </w:r>
      <w:r w:rsidR="00F719CD" w:rsidRPr="00935D13">
        <w:rPr>
          <w:color w:val="000000"/>
          <w:szCs w:val="24"/>
        </w:rPr>
        <w:t xml:space="preserve">mintázatok kialakítására, illetve a társadalom erkölcsiségének javítására, és </w:t>
      </w:r>
      <w:r w:rsidR="00935D13" w:rsidRPr="00935D13">
        <w:rPr>
          <w:color w:val="000000"/>
          <w:szCs w:val="24"/>
        </w:rPr>
        <w:t xml:space="preserve">alapvetően kérdőjelezze meg </w:t>
      </w:r>
      <w:r w:rsidR="00F719CD" w:rsidRPr="00935D13">
        <w:rPr>
          <w:color w:val="000000"/>
          <w:szCs w:val="24"/>
        </w:rPr>
        <w:t xml:space="preserve">a fogyasztói társadalom szemléletrendszerét. </w:t>
      </w:r>
    </w:p>
    <w:p w:rsidR="008A5255" w:rsidRDefault="008A5255" w:rsidP="002D404A">
      <w:pPr>
        <w:jc w:val="both"/>
        <w:rPr>
          <w:color w:val="000000"/>
          <w:szCs w:val="24"/>
        </w:rPr>
      </w:pPr>
    </w:p>
    <w:p w:rsidR="007330BC" w:rsidRDefault="000D6FE4" w:rsidP="002D404A">
      <w:pPr>
        <w:jc w:val="both"/>
        <w:rPr>
          <w:color w:val="000000"/>
          <w:szCs w:val="24"/>
        </w:rPr>
      </w:pPr>
      <w:r>
        <w:rPr>
          <w:color w:val="000000"/>
          <w:szCs w:val="24"/>
        </w:rPr>
        <w:lastRenderedPageBreak/>
        <w:t xml:space="preserve">A Tanács egyetért a dokumentum azon megállapításával, amely szerint a társadalmi gondolkodás környezettudatossá formálása csak nehezen kezdhető meg felnőttek között. Ugyanakkor lényegesnek tartja, hogy emiatt ne </w:t>
      </w:r>
      <w:r w:rsidR="007D56FF">
        <w:rPr>
          <w:color w:val="000000"/>
          <w:szCs w:val="24"/>
        </w:rPr>
        <w:t xml:space="preserve">csak </w:t>
      </w:r>
      <w:r>
        <w:rPr>
          <w:color w:val="000000"/>
          <w:szCs w:val="24"/>
        </w:rPr>
        <w:t>a kisebb ellenállás irányába, azaz a gyerekekre koncentrálják a szemléletformálási tevékenységet, hisze</w:t>
      </w:r>
      <w:r w:rsidR="009F17B2">
        <w:rPr>
          <w:color w:val="000000"/>
          <w:szCs w:val="24"/>
        </w:rPr>
        <w:t>n a ma döntéshozói a felnőtt fogyasztók.</w:t>
      </w:r>
    </w:p>
    <w:p w:rsidR="007330BC" w:rsidRDefault="007330BC" w:rsidP="002D404A">
      <w:pPr>
        <w:jc w:val="both"/>
        <w:rPr>
          <w:color w:val="000000"/>
          <w:szCs w:val="24"/>
        </w:rPr>
      </w:pPr>
    </w:p>
    <w:p w:rsidR="008A5255" w:rsidRPr="00935D13" w:rsidRDefault="008A5255" w:rsidP="002D404A">
      <w:pPr>
        <w:spacing w:after="160" w:line="259" w:lineRule="auto"/>
        <w:jc w:val="both"/>
        <w:rPr>
          <w:rFonts w:eastAsia="Calibri"/>
          <w:szCs w:val="24"/>
          <w:lang w:eastAsia="en-US"/>
        </w:rPr>
      </w:pPr>
      <w:r w:rsidRPr="00935D13">
        <w:rPr>
          <w:rFonts w:eastAsia="Calibri"/>
          <w:szCs w:val="24"/>
          <w:lang w:eastAsia="en-US"/>
        </w:rPr>
        <w:t xml:space="preserve">Az OKT megítélése szerint </w:t>
      </w:r>
      <w:r>
        <w:rPr>
          <w:rFonts w:eastAsia="Calibri"/>
          <w:szCs w:val="24"/>
          <w:lang w:eastAsia="en-US"/>
        </w:rPr>
        <w:t>a Cselekvési Terv jelenlegi formájában szándéknyilatkozatként értékelhető</w:t>
      </w:r>
      <w:r w:rsidR="007E21CA">
        <w:rPr>
          <w:rFonts w:eastAsia="Calibri"/>
          <w:szCs w:val="24"/>
          <w:lang w:eastAsia="en-US"/>
        </w:rPr>
        <w:t xml:space="preserve">. </w:t>
      </w:r>
      <w:r>
        <w:rPr>
          <w:rFonts w:eastAsia="Calibri"/>
          <w:szCs w:val="24"/>
          <w:lang w:eastAsia="en-US"/>
        </w:rPr>
        <w:t>Emellett az intézkedésekhez nem nevesíti az azok megvalósítására szolgáló forrásokat</w:t>
      </w:r>
      <w:r w:rsidR="000D6FE4">
        <w:rPr>
          <w:rFonts w:eastAsia="Calibri"/>
          <w:szCs w:val="24"/>
          <w:lang w:eastAsia="en-US"/>
        </w:rPr>
        <w:t xml:space="preserve">, illetve több ponton </w:t>
      </w:r>
      <w:r w:rsidR="007D56FF">
        <w:rPr>
          <w:rFonts w:eastAsia="Calibri"/>
          <w:szCs w:val="24"/>
          <w:lang w:eastAsia="en-US"/>
        </w:rPr>
        <w:t xml:space="preserve">– kevéssé reálisan – </w:t>
      </w:r>
      <w:r w:rsidR="000D6FE4">
        <w:rPr>
          <w:rFonts w:eastAsia="Calibri"/>
          <w:szCs w:val="24"/>
          <w:lang w:eastAsia="en-US"/>
        </w:rPr>
        <w:t>önfinanszírozónak tekinti az egyes érintettek mun</w:t>
      </w:r>
      <w:r w:rsidR="007D56FF">
        <w:rPr>
          <w:rFonts w:eastAsia="Calibri"/>
          <w:szCs w:val="24"/>
          <w:lang w:eastAsia="en-US"/>
        </w:rPr>
        <w:t>káját (pl. vállalatok, civilek).</w:t>
      </w:r>
    </w:p>
    <w:p w:rsidR="008A5255" w:rsidRPr="00935D13" w:rsidRDefault="008A5255" w:rsidP="002D404A">
      <w:pPr>
        <w:jc w:val="both"/>
        <w:rPr>
          <w:color w:val="000000"/>
          <w:szCs w:val="24"/>
        </w:rPr>
      </w:pPr>
    </w:p>
    <w:p w:rsidR="00F719CD" w:rsidRPr="00B113F1" w:rsidRDefault="004215DC" w:rsidP="002D404A">
      <w:pPr>
        <w:spacing w:after="160" w:line="259" w:lineRule="auto"/>
        <w:jc w:val="both"/>
        <w:rPr>
          <w:rFonts w:eastAsia="Calibri"/>
          <w:b/>
          <w:szCs w:val="24"/>
          <w:lang w:eastAsia="en-US"/>
        </w:rPr>
      </w:pPr>
      <w:r w:rsidRPr="00B113F1">
        <w:rPr>
          <w:rFonts w:eastAsia="Calibri"/>
          <w:b/>
          <w:szCs w:val="24"/>
          <w:lang w:eastAsia="en-US"/>
        </w:rPr>
        <w:t>Részletes megjegyzések</w:t>
      </w:r>
    </w:p>
    <w:p w:rsidR="007330BC" w:rsidRDefault="007330BC" w:rsidP="002D404A">
      <w:pPr>
        <w:jc w:val="both"/>
        <w:rPr>
          <w:color w:val="000000"/>
          <w:szCs w:val="24"/>
        </w:rPr>
      </w:pPr>
      <w:r>
        <w:rPr>
          <w:color w:val="000000"/>
          <w:szCs w:val="24"/>
        </w:rPr>
        <w:t>10</w:t>
      </w:r>
      <w:r w:rsidR="007E21CA">
        <w:rPr>
          <w:color w:val="000000"/>
          <w:szCs w:val="24"/>
        </w:rPr>
        <w:t>.</w:t>
      </w:r>
      <w:r>
        <w:rPr>
          <w:color w:val="000000"/>
          <w:szCs w:val="24"/>
        </w:rPr>
        <w:t xml:space="preserve"> oldal </w:t>
      </w:r>
    </w:p>
    <w:p w:rsidR="007330BC" w:rsidRDefault="007330BC" w:rsidP="002D404A">
      <w:pPr>
        <w:jc w:val="both"/>
        <w:rPr>
          <w:color w:val="000000"/>
          <w:szCs w:val="24"/>
        </w:rPr>
      </w:pPr>
      <w:r>
        <w:rPr>
          <w:color w:val="000000"/>
          <w:szCs w:val="24"/>
        </w:rPr>
        <w:t>A szerzők a</w:t>
      </w:r>
      <w:r w:rsidR="007D56FF">
        <w:rPr>
          <w:color w:val="000000"/>
          <w:szCs w:val="24"/>
        </w:rPr>
        <w:t>z</w:t>
      </w:r>
      <w:r>
        <w:rPr>
          <w:color w:val="000000"/>
          <w:szCs w:val="24"/>
        </w:rPr>
        <w:t xml:space="preserve">onosított problémaként tüntetik fel a </w:t>
      </w:r>
      <w:proofErr w:type="spellStart"/>
      <w:r>
        <w:rPr>
          <w:color w:val="000000"/>
          <w:szCs w:val="24"/>
        </w:rPr>
        <w:t>távhővel</w:t>
      </w:r>
      <w:proofErr w:type="spellEnd"/>
      <w:r>
        <w:rPr>
          <w:color w:val="000000"/>
          <w:szCs w:val="24"/>
        </w:rPr>
        <w:t xml:space="preserve"> kapcsolatos idejétmúlt és helytelen információkra támaszkodó társadalmi megítélést. Ennek ellentmond a 31. </w:t>
      </w:r>
      <w:r w:rsidR="000D6FE4">
        <w:rPr>
          <w:color w:val="000000"/>
          <w:szCs w:val="24"/>
        </w:rPr>
        <w:t>o</w:t>
      </w:r>
      <w:r>
        <w:rPr>
          <w:color w:val="000000"/>
          <w:szCs w:val="24"/>
        </w:rPr>
        <w:t xml:space="preserve">ldalon tett kijelentés, amely elismeri, hogy az összes fűtési rendszer közül a távfűtéses rendszerek a legidősebbek, közel 30 évesek, </w:t>
      </w:r>
      <w:r w:rsidR="007D56FF">
        <w:rPr>
          <w:color w:val="000000"/>
          <w:szCs w:val="24"/>
        </w:rPr>
        <w:t>jóllehet</w:t>
      </w:r>
      <w:r>
        <w:rPr>
          <w:color w:val="000000"/>
          <w:szCs w:val="24"/>
        </w:rPr>
        <w:t xml:space="preserve"> ezek fejlesztése folyamatos. Jelenlegi állapotukban a </w:t>
      </w:r>
      <w:proofErr w:type="spellStart"/>
      <w:r>
        <w:rPr>
          <w:color w:val="000000"/>
          <w:szCs w:val="24"/>
        </w:rPr>
        <w:t>távhőrendszerek</w:t>
      </w:r>
      <w:proofErr w:type="spellEnd"/>
      <w:r>
        <w:rPr>
          <w:color w:val="000000"/>
          <w:szCs w:val="24"/>
        </w:rPr>
        <w:t xml:space="preserve"> távol állnak az </w:t>
      </w:r>
      <w:proofErr w:type="spellStart"/>
      <w:r>
        <w:rPr>
          <w:color w:val="000000"/>
          <w:szCs w:val="24"/>
        </w:rPr>
        <w:t>energiahatékony</w:t>
      </w:r>
      <w:proofErr w:type="spellEnd"/>
      <w:r>
        <w:rPr>
          <w:color w:val="000000"/>
          <w:szCs w:val="24"/>
        </w:rPr>
        <w:t xml:space="preserve"> megoldásoktól, emiatt nem megalapozott az ennek ellentmondó kommunikáció.</w:t>
      </w:r>
    </w:p>
    <w:p w:rsidR="007330BC" w:rsidRDefault="007330BC" w:rsidP="002D404A">
      <w:pPr>
        <w:jc w:val="both"/>
        <w:rPr>
          <w:color w:val="000000"/>
          <w:szCs w:val="24"/>
        </w:rPr>
      </w:pPr>
    </w:p>
    <w:p w:rsidR="003E38E1" w:rsidRPr="00F71205" w:rsidRDefault="003E38E1" w:rsidP="002D404A">
      <w:pPr>
        <w:jc w:val="both"/>
        <w:rPr>
          <w:color w:val="000000"/>
          <w:szCs w:val="24"/>
        </w:rPr>
      </w:pPr>
      <w:r w:rsidRPr="00F71205">
        <w:rPr>
          <w:color w:val="000000"/>
          <w:szCs w:val="24"/>
        </w:rPr>
        <w:t>14. oldal</w:t>
      </w:r>
    </w:p>
    <w:p w:rsidR="003E38E1" w:rsidRDefault="003E38E1" w:rsidP="002D404A">
      <w:pPr>
        <w:jc w:val="both"/>
        <w:rPr>
          <w:color w:val="000000"/>
          <w:szCs w:val="24"/>
        </w:rPr>
      </w:pPr>
      <w:r w:rsidRPr="00F71205">
        <w:rPr>
          <w:color w:val="000000"/>
          <w:szCs w:val="24"/>
        </w:rPr>
        <w:t xml:space="preserve">A Tanács egyetért a pedagógusképzések fejlesztésével a Cselekvési Tervben megfogalmazott témakörök </w:t>
      </w:r>
      <w:r w:rsidR="004215DC" w:rsidRPr="00F71205">
        <w:rPr>
          <w:color w:val="000000"/>
          <w:szCs w:val="24"/>
        </w:rPr>
        <w:t>hatékonyabb oktatása érdekében, ezért felhívja az előterjesztő figyelmét e cél</w:t>
      </w:r>
      <w:r w:rsidR="004215DC">
        <w:rPr>
          <w:rFonts w:eastAsia="Calibri"/>
          <w:szCs w:val="24"/>
          <w:lang w:eastAsia="en-US"/>
        </w:rPr>
        <w:t xml:space="preserve"> </w:t>
      </w:r>
      <w:r w:rsidR="004215DC" w:rsidRPr="00F71205">
        <w:rPr>
          <w:color w:val="000000"/>
          <w:szCs w:val="24"/>
        </w:rPr>
        <w:t>érvényesítésére az EMMI felsőoktatásért felelős helyettes államtitkárságánál.</w:t>
      </w:r>
    </w:p>
    <w:p w:rsidR="00F71205" w:rsidRPr="00F71205" w:rsidRDefault="00F71205" w:rsidP="002D404A">
      <w:pPr>
        <w:jc w:val="both"/>
        <w:rPr>
          <w:color w:val="000000"/>
          <w:szCs w:val="24"/>
        </w:rPr>
      </w:pPr>
    </w:p>
    <w:p w:rsidR="003E38E1" w:rsidRPr="00F71205" w:rsidRDefault="004215DC" w:rsidP="002D404A">
      <w:pPr>
        <w:jc w:val="both"/>
        <w:rPr>
          <w:color w:val="000000"/>
          <w:szCs w:val="24"/>
        </w:rPr>
      </w:pPr>
      <w:r w:rsidRPr="00F71205">
        <w:rPr>
          <w:color w:val="000000"/>
          <w:szCs w:val="24"/>
        </w:rPr>
        <w:t>23. oldal</w:t>
      </w:r>
    </w:p>
    <w:p w:rsidR="004215DC" w:rsidRDefault="004215DC" w:rsidP="002D404A">
      <w:pPr>
        <w:jc w:val="both"/>
        <w:rPr>
          <w:color w:val="000000"/>
          <w:szCs w:val="24"/>
        </w:rPr>
      </w:pPr>
      <w:r w:rsidRPr="00F71205">
        <w:rPr>
          <w:color w:val="000000"/>
          <w:szCs w:val="24"/>
        </w:rPr>
        <w:t xml:space="preserve">A 4. fejezetben </w:t>
      </w:r>
      <w:r w:rsidR="008A5255" w:rsidRPr="00F71205">
        <w:rPr>
          <w:color w:val="000000"/>
          <w:szCs w:val="24"/>
        </w:rPr>
        <w:t xml:space="preserve">közölt </w:t>
      </w:r>
      <w:r w:rsidR="002D404A">
        <w:rPr>
          <w:color w:val="000000"/>
          <w:szCs w:val="24"/>
        </w:rPr>
        <w:t>információk</w:t>
      </w:r>
      <w:r w:rsidR="008A5255" w:rsidRPr="00F71205">
        <w:rPr>
          <w:color w:val="000000"/>
          <w:szCs w:val="24"/>
        </w:rPr>
        <w:t xml:space="preserve">, külföldi példák és esettanulmányok </w:t>
      </w:r>
      <w:r w:rsidR="002D404A">
        <w:rPr>
          <w:color w:val="000000"/>
          <w:szCs w:val="24"/>
        </w:rPr>
        <w:t>jelentős</w:t>
      </w:r>
      <w:r w:rsidR="008A5255" w:rsidRPr="00F71205">
        <w:rPr>
          <w:color w:val="000000"/>
          <w:szCs w:val="24"/>
        </w:rPr>
        <w:t xml:space="preserve"> része közismert, illetve nem jelent érdemi segítséget a jelenlegi hazai viszonyok </w:t>
      </w:r>
      <w:r w:rsidR="002D404A">
        <w:rPr>
          <w:color w:val="000000"/>
          <w:szCs w:val="24"/>
        </w:rPr>
        <w:t>megoldásában</w:t>
      </w:r>
      <w:r w:rsidR="008A5255" w:rsidRPr="00F71205">
        <w:rPr>
          <w:color w:val="000000"/>
          <w:szCs w:val="24"/>
        </w:rPr>
        <w:t xml:space="preserve">, ezért megfontolásra javasoljuk e fejezet jelentős átdolgozását, vagy rövidítését. </w:t>
      </w:r>
    </w:p>
    <w:p w:rsidR="00F71205" w:rsidRPr="00F71205" w:rsidRDefault="00F71205" w:rsidP="002D404A">
      <w:pPr>
        <w:jc w:val="both"/>
        <w:rPr>
          <w:color w:val="000000"/>
          <w:szCs w:val="24"/>
        </w:rPr>
      </w:pPr>
    </w:p>
    <w:p w:rsidR="008A5255" w:rsidRPr="00F71205" w:rsidRDefault="008A5255" w:rsidP="002D404A">
      <w:pPr>
        <w:jc w:val="both"/>
        <w:rPr>
          <w:color w:val="000000"/>
          <w:szCs w:val="24"/>
        </w:rPr>
      </w:pPr>
      <w:r w:rsidRPr="00F71205">
        <w:rPr>
          <w:color w:val="000000"/>
          <w:szCs w:val="24"/>
        </w:rPr>
        <w:t>38-39. oldal</w:t>
      </w:r>
    </w:p>
    <w:p w:rsidR="008A5255" w:rsidRDefault="008A5255" w:rsidP="002D404A">
      <w:pPr>
        <w:jc w:val="both"/>
        <w:rPr>
          <w:color w:val="000000"/>
          <w:szCs w:val="24"/>
        </w:rPr>
      </w:pPr>
      <w:r w:rsidRPr="00F71205">
        <w:rPr>
          <w:color w:val="000000"/>
          <w:szCs w:val="24"/>
        </w:rPr>
        <w:t>A hulladékgazdálkodással kapcsolatban említett arányok esetében javasoljuk frissebb adatok beépítését, ezek ugyanis nem tükrözik a jelenlegi hazai helyzetet.</w:t>
      </w:r>
      <w:r w:rsidR="007330BC">
        <w:rPr>
          <w:color w:val="000000"/>
          <w:szCs w:val="24"/>
        </w:rPr>
        <w:t xml:space="preserve"> A települési szilárd hulladék nem tekinthető megújuló energiának. A dokumentumban említett 50%-os szerves hulladék arány esetében nem található hivatkozás, </w:t>
      </w:r>
      <w:r w:rsidR="007D56FF">
        <w:rPr>
          <w:color w:val="000000"/>
          <w:szCs w:val="24"/>
        </w:rPr>
        <w:t>ezt</w:t>
      </w:r>
      <w:r w:rsidR="007330BC">
        <w:rPr>
          <w:color w:val="000000"/>
          <w:szCs w:val="24"/>
        </w:rPr>
        <w:t xml:space="preserve"> szükséges</w:t>
      </w:r>
      <w:r w:rsidR="007D56FF">
        <w:rPr>
          <w:color w:val="000000"/>
          <w:szCs w:val="24"/>
        </w:rPr>
        <w:t>nek tartjuk</w:t>
      </w:r>
      <w:r w:rsidR="007330BC">
        <w:rPr>
          <w:color w:val="000000"/>
          <w:szCs w:val="24"/>
        </w:rPr>
        <w:t xml:space="preserve"> pontosítani. Emellett </w:t>
      </w:r>
      <w:r w:rsidR="007D56FF">
        <w:rPr>
          <w:color w:val="000000"/>
          <w:szCs w:val="24"/>
        </w:rPr>
        <w:t xml:space="preserve">felhívjuk </w:t>
      </w:r>
      <w:r w:rsidR="007330BC">
        <w:rPr>
          <w:color w:val="000000"/>
          <w:szCs w:val="24"/>
        </w:rPr>
        <w:t>a Terv készítőinek figyelmét arra a tárgyi tévedésre, hogy m</w:t>
      </w:r>
      <w:r w:rsidR="000D6FE4">
        <w:rPr>
          <w:color w:val="000000"/>
          <w:szCs w:val="24"/>
        </w:rPr>
        <w:t xml:space="preserve">egújuló alapanyagnak </w:t>
      </w:r>
      <w:r w:rsidR="007D56FF">
        <w:rPr>
          <w:color w:val="000000"/>
          <w:szCs w:val="24"/>
        </w:rPr>
        <w:t xml:space="preserve">kizárólag </w:t>
      </w:r>
      <w:r w:rsidR="007330BC">
        <w:rPr>
          <w:color w:val="000000"/>
          <w:szCs w:val="24"/>
        </w:rPr>
        <w:t>a biomassza, a szerves hulladék tekinthető</w:t>
      </w:r>
      <w:r w:rsidR="000D6FE4">
        <w:rPr>
          <w:color w:val="000000"/>
          <w:szCs w:val="24"/>
        </w:rPr>
        <w:t xml:space="preserve"> a települési szilárd hulladékon belül.</w:t>
      </w:r>
    </w:p>
    <w:p w:rsidR="009F17B2" w:rsidRDefault="009F17B2" w:rsidP="002D404A">
      <w:pPr>
        <w:jc w:val="both"/>
        <w:rPr>
          <w:color w:val="000000"/>
          <w:szCs w:val="24"/>
        </w:rPr>
      </w:pPr>
      <w:r>
        <w:rPr>
          <w:color w:val="000000"/>
          <w:szCs w:val="24"/>
        </w:rPr>
        <w:t xml:space="preserve">A hulladékégetésre előírt szigorú határértékek önmagukban nem igazolják, hogy a fosszilis alapú termelőegységeknél tisztább technológiáról van szó. A kommunális hulladék </w:t>
      </w:r>
      <w:r w:rsidR="007E21CA">
        <w:rPr>
          <w:color w:val="000000"/>
          <w:szCs w:val="24"/>
        </w:rPr>
        <w:t xml:space="preserve">pontos </w:t>
      </w:r>
      <w:r>
        <w:rPr>
          <w:color w:val="000000"/>
          <w:szCs w:val="24"/>
        </w:rPr>
        <w:t>összetétele nem ismert, s mint ilyen, összeha</w:t>
      </w:r>
      <w:r w:rsidR="000008B6">
        <w:rPr>
          <w:color w:val="000000"/>
          <w:szCs w:val="24"/>
        </w:rPr>
        <w:t xml:space="preserve">sonlíthatatlan az égésterméke az ehhez képest </w:t>
      </w:r>
      <w:r>
        <w:rPr>
          <w:color w:val="000000"/>
          <w:szCs w:val="24"/>
        </w:rPr>
        <w:t>homogén tüzelőanyagot használó fosszilis erőművekével.</w:t>
      </w:r>
    </w:p>
    <w:p w:rsidR="00F71205" w:rsidRPr="00F71205" w:rsidRDefault="00F71205" w:rsidP="002D404A">
      <w:pPr>
        <w:jc w:val="both"/>
        <w:rPr>
          <w:color w:val="000000"/>
          <w:szCs w:val="24"/>
        </w:rPr>
      </w:pPr>
    </w:p>
    <w:p w:rsidR="008A5255" w:rsidRPr="00F71205" w:rsidRDefault="008A5255" w:rsidP="002D404A">
      <w:pPr>
        <w:jc w:val="both"/>
        <w:rPr>
          <w:color w:val="000000"/>
          <w:szCs w:val="24"/>
        </w:rPr>
      </w:pPr>
      <w:r w:rsidRPr="00F71205">
        <w:rPr>
          <w:color w:val="000000"/>
          <w:szCs w:val="24"/>
        </w:rPr>
        <w:t>39. oldal</w:t>
      </w:r>
    </w:p>
    <w:p w:rsidR="008A5255" w:rsidRDefault="008A5255" w:rsidP="002D404A">
      <w:pPr>
        <w:jc w:val="both"/>
        <w:rPr>
          <w:color w:val="000000"/>
          <w:szCs w:val="24"/>
        </w:rPr>
      </w:pPr>
      <w:r w:rsidRPr="00F71205">
        <w:rPr>
          <w:color w:val="000000"/>
          <w:szCs w:val="24"/>
        </w:rPr>
        <w:t>Az 5.1.5. fejezetben javasoljuk kiemelni a hazai mező- és erdőgazdasági rendszerek fokozott sérülékenységét is.</w:t>
      </w:r>
    </w:p>
    <w:p w:rsidR="00F71205" w:rsidRPr="00F71205" w:rsidRDefault="00F71205" w:rsidP="002D404A">
      <w:pPr>
        <w:jc w:val="both"/>
        <w:rPr>
          <w:color w:val="000000"/>
          <w:szCs w:val="24"/>
        </w:rPr>
      </w:pPr>
    </w:p>
    <w:p w:rsidR="00F719CD" w:rsidRPr="00935D13" w:rsidRDefault="00F719CD" w:rsidP="002D404A">
      <w:pPr>
        <w:jc w:val="both"/>
        <w:rPr>
          <w:color w:val="000000"/>
          <w:szCs w:val="24"/>
        </w:rPr>
      </w:pPr>
      <w:r w:rsidRPr="00935D13">
        <w:rPr>
          <w:color w:val="000000"/>
          <w:szCs w:val="24"/>
        </w:rPr>
        <w:t>54. oldal</w:t>
      </w:r>
    </w:p>
    <w:p w:rsidR="00F719CD" w:rsidRPr="00935D13" w:rsidRDefault="006C7068" w:rsidP="002D404A">
      <w:pPr>
        <w:jc w:val="both"/>
        <w:rPr>
          <w:color w:val="000000"/>
          <w:szCs w:val="24"/>
        </w:rPr>
      </w:pPr>
      <w:r>
        <w:rPr>
          <w:color w:val="000000"/>
          <w:szCs w:val="24"/>
        </w:rPr>
        <w:t>S</w:t>
      </w:r>
      <w:r w:rsidR="00F719CD" w:rsidRPr="00935D13">
        <w:rPr>
          <w:color w:val="000000"/>
          <w:szCs w:val="24"/>
        </w:rPr>
        <w:t>zükségesnek tartjuk a szemléletformálási területek kiemelt feladat</w:t>
      </w:r>
      <w:r w:rsidR="002D404A">
        <w:rPr>
          <w:color w:val="000000"/>
          <w:szCs w:val="24"/>
        </w:rPr>
        <w:t>a</w:t>
      </w:r>
      <w:r w:rsidR="00F719CD" w:rsidRPr="00935D13">
        <w:rPr>
          <w:color w:val="000000"/>
          <w:szCs w:val="24"/>
        </w:rPr>
        <w:t>i között is nevesíteni az alacsony jövedelmű háztartásokat megcélzó feladatokat</w:t>
      </w:r>
      <w:r>
        <w:rPr>
          <w:color w:val="000000"/>
          <w:szCs w:val="24"/>
        </w:rPr>
        <w:t xml:space="preserve"> </w:t>
      </w:r>
      <w:r w:rsidR="00F719CD" w:rsidRPr="00935D13">
        <w:rPr>
          <w:color w:val="000000"/>
          <w:szCs w:val="24"/>
        </w:rPr>
        <w:t>a célcsoport igényeire, lehetőségeire szabott tevékenységekkel, közösségi megvalósítás keretében.</w:t>
      </w:r>
    </w:p>
    <w:p w:rsidR="006C7068" w:rsidRPr="00935D13" w:rsidRDefault="006C7068" w:rsidP="002D404A">
      <w:pPr>
        <w:jc w:val="both"/>
        <w:rPr>
          <w:color w:val="000000"/>
          <w:szCs w:val="24"/>
        </w:rPr>
      </w:pPr>
      <w:r>
        <w:rPr>
          <w:color w:val="000000"/>
          <w:szCs w:val="24"/>
        </w:rPr>
        <w:t>A Tanács javasolja a</w:t>
      </w:r>
      <w:r w:rsidRPr="00935D13">
        <w:rPr>
          <w:color w:val="000000"/>
          <w:szCs w:val="24"/>
        </w:rPr>
        <w:t xml:space="preserve"> közösségi energia népszerűsítésének beemelését </w:t>
      </w:r>
      <w:r>
        <w:rPr>
          <w:color w:val="000000"/>
          <w:szCs w:val="24"/>
        </w:rPr>
        <w:t xml:space="preserve">a </w:t>
      </w:r>
      <w:r w:rsidRPr="00935D13">
        <w:rPr>
          <w:color w:val="000000"/>
          <w:szCs w:val="24"/>
        </w:rPr>
        <w:t xml:space="preserve">szemléletformálási területek (elsősorban energiafogyasztás, megújuló energia) kiemelt feladatai közé. </w:t>
      </w:r>
    </w:p>
    <w:p w:rsidR="00F719CD" w:rsidRPr="00935D13" w:rsidRDefault="00F719CD" w:rsidP="002D404A">
      <w:pPr>
        <w:jc w:val="both"/>
        <w:rPr>
          <w:color w:val="000000"/>
          <w:szCs w:val="24"/>
        </w:rPr>
      </w:pPr>
    </w:p>
    <w:p w:rsidR="00F719CD" w:rsidRPr="00935D13" w:rsidRDefault="00F719CD" w:rsidP="002D404A">
      <w:pPr>
        <w:jc w:val="both"/>
        <w:rPr>
          <w:color w:val="000000"/>
          <w:szCs w:val="24"/>
        </w:rPr>
      </w:pPr>
      <w:r w:rsidRPr="00935D13">
        <w:rPr>
          <w:color w:val="000000"/>
          <w:szCs w:val="24"/>
        </w:rPr>
        <w:t>55. oldal</w:t>
      </w:r>
    </w:p>
    <w:p w:rsidR="006C7068" w:rsidRDefault="006C7068" w:rsidP="002D404A">
      <w:pPr>
        <w:jc w:val="both"/>
        <w:rPr>
          <w:color w:val="000000"/>
          <w:szCs w:val="24"/>
        </w:rPr>
      </w:pPr>
      <w:r>
        <w:rPr>
          <w:color w:val="000000"/>
          <w:szCs w:val="24"/>
        </w:rPr>
        <w:t xml:space="preserve">A Tanács kéri az előterjesztőt, hogy </w:t>
      </w:r>
      <w:r w:rsidR="00F719CD" w:rsidRPr="00935D13">
        <w:rPr>
          <w:color w:val="000000"/>
          <w:szCs w:val="24"/>
        </w:rPr>
        <w:t xml:space="preserve">a szemléletformáló intézkedések közül a fejlesztések ellentmondásos megítélésére </w:t>
      </w:r>
      <w:r w:rsidR="002D404A">
        <w:rPr>
          <w:color w:val="000000"/>
          <w:szCs w:val="24"/>
        </w:rPr>
        <w:t xml:space="preserve">(pl. mivel az atomenergia alapja fosszilis energiahordozó, nem csökkenti hazánk importfüggőségét stb.) </w:t>
      </w:r>
      <w:r w:rsidR="00F719CD" w:rsidRPr="00935D13">
        <w:rPr>
          <w:color w:val="000000"/>
          <w:szCs w:val="24"/>
        </w:rPr>
        <w:t xml:space="preserve">tekintettel </w:t>
      </w:r>
      <w:r w:rsidR="00F719CD" w:rsidRPr="006C7068">
        <w:rPr>
          <w:color w:val="000000"/>
          <w:szCs w:val="24"/>
        </w:rPr>
        <w:t xml:space="preserve">törölje </w:t>
      </w:r>
      <w:r>
        <w:rPr>
          <w:color w:val="000000"/>
          <w:szCs w:val="24"/>
        </w:rPr>
        <w:t xml:space="preserve">„a </w:t>
      </w:r>
      <w:r w:rsidR="00F719CD" w:rsidRPr="006C7068">
        <w:rPr>
          <w:color w:val="000000"/>
          <w:szCs w:val="24"/>
        </w:rPr>
        <w:t>nukleáris energiatermelés (régiós átlagához képest) magas társadalmi elfogadottságának további biztosítása</w:t>
      </w:r>
      <w:r>
        <w:rPr>
          <w:color w:val="000000"/>
          <w:szCs w:val="24"/>
        </w:rPr>
        <w:t xml:space="preserve">” pontot. </w:t>
      </w:r>
    </w:p>
    <w:p w:rsidR="000D6FE4" w:rsidRDefault="006C7068" w:rsidP="002D404A">
      <w:pPr>
        <w:jc w:val="both"/>
        <w:rPr>
          <w:color w:val="000000"/>
          <w:szCs w:val="24"/>
        </w:rPr>
      </w:pPr>
      <w:r>
        <w:rPr>
          <w:color w:val="000000"/>
          <w:szCs w:val="24"/>
        </w:rPr>
        <w:t>Emellett kérjük „a</w:t>
      </w:r>
      <w:r w:rsidR="00F719CD" w:rsidRPr="006C7068">
        <w:rPr>
          <w:color w:val="000000"/>
          <w:szCs w:val="24"/>
        </w:rPr>
        <w:t xml:space="preserve"> települési szilárd hulladékok energetikai hasznosítását elfogadó társadalmi attitűd kialakítása</w:t>
      </w:r>
      <w:r>
        <w:rPr>
          <w:color w:val="000000"/>
          <w:szCs w:val="24"/>
        </w:rPr>
        <w:t xml:space="preserve">” pont törlését is. </w:t>
      </w:r>
      <w:r w:rsidR="00F719CD" w:rsidRPr="00935D13">
        <w:rPr>
          <w:color w:val="000000"/>
          <w:szCs w:val="24"/>
        </w:rPr>
        <w:t>A hulladékokkal kapcsolatos szemléletformálás</w:t>
      </w:r>
      <w:r>
        <w:rPr>
          <w:color w:val="000000"/>
          <w:szCs w:val="24"/>
        </w:rPr>
        <w:t>nak</w:t>
      </w:r>
      <w:r w:rsidR="00F719CD" w:rsidRPr="00935D13">
        <w:rPr>
          <w:color w:val="000000"/>
          <w:szCs w:val="24"/>
        </w:rPr>
        <w:t xml:space="preserve"> </w:t>
      </w:r>
      <w:r w:rsidR="002D404A">
        <w:rPr>
          <w:color w:val="000000"/>
          <w:szCs w:val="24"/>
        </w:rPr>
        <w:t xml:space="preserve">ugyanis </w:t>
      </w:r>
      <w:r w:rsidR="00F719CD" w:rsidRPr="00935D13">
        <w:rPr>
          <w:color w:val="000000"/>
          <w:szCs w:val="24"/>
        </w:rPr>
        <w:t>a hazai és európa</w:t>
      </w:r>
      <w:r>
        <w:rPr>
          <w:color w:val="000000"/>
          <w:szCs w:val="24"/>
        </w:rPr>
        <w:t>i hulladékkezelési hierarchián kell alapulnia</w:t>
      </w:r>
      <w:r w:rsidR="00F719CD" w:rsidRPr="00935D13">
        <w:rPr>
          <w:color w:val="000000"/>
          <w:szCs w:val="24"/>
        </w:rPr>
        <w:t>, amely</w:t>
      </w:r>
      <w:r w:rsidR="00F71205">
        <w:rPr>
          <w:color w:val="000000"/>
          <w:szCs w:val="24"/>
        </w:rPr>
        <w:t>n</w:t>
      </w:r>
      <w:r>
        <w:rPr>
          <w:color w:val="000000"/>
          <w:szCs w:val="24"/>
        </w:rPr>
        <w:t>ek</w:t>
      </w:r>
      <w:r w:rsidR="00F719CD" w:rsidRPr="00935D13">
        <w:rPr>
          <w:color w:val="000000"/>
          <w:szCs w:val="24"/>
        </w:rPr>
        <w:t xml:space="preserve"> prioritása a megelőzés, a hulla</w:t>
      </w:r>
      <w:r>
        <w:rPr>
          <w:color w:val="000000"/>
          <w:szCs w:val="24"/>
        </w:rPr>
        <w:t>dékok keletkezésének elkerülése</w:t>
      </w:r>
      <w:r w:rsidR="00F719CD" w:rsidRPr="00935D13">
        <w:rPr>
          <w:color w:val="000000"/>
          <w:szCs w:val="24"/>
        </w:rPr>
        <w:t>.</w:t>
      </w:r>
      <w:r w:rsidR="000D6FE4">
        <w:rPr>
          <w:color w:val="000000"/>
          <w:szCs w:val="24"/>
        </w:rPr>
        <w:t xml:space="preserve"> Olyan rendszerszerű gondolkodást megalapozó ismeretekre van szükség, mint a fenntartható anyaghasználat vagy az életciklus szemlélet.</w:t>
      </w:r>
    </w:p>
    <w:p w:rsidR="00F719CD" w:rsidRPr="00935D13" w:rsidRDefault="00CD33A6" w:rsidP="002D404A">
      <w:pPr>
        <w:jc w:val="both"/>
        <w:rPr>
          <w:color w:val="000000"/>
          <w:szCs w:val="24"/>
        </w:rPr>
      </w:pPr>
      <w:r>
        <w:rPr>
          <w:color w:val="000000"/>
          <w:szCs w:val="24"/>
        </w:rPr>
        <w:t xml:space="preserve">A Tanács álláspontja szerint </w:t>
      </w:r>
      <w:r w:rsidR="00384C5A">
        <w:rPr>
          <w:color w:val="000000"/>
          <w:szCs w:val="24"/>
        </w:rPr>
        <w:t>a szemléletformálási terv</w:t>
      </w:r>
      <w:r w:rsidR="000D6FE4">
        <w:rPr>
          <w:color w:val="000000"/>
          <w:szCs w:val="24"/>
        </w:rPr>
        <w:t xml:space="preserve">nek ki kell térnie a </w:t>
      </w:r>
      <w:r w:rsidR="00384C5A">
        <w:rPr>
          <w:color w:val="000000"/>
          <w:szCs w:val="24"/>
        </w:rPr>
        <w:t>hulladék</w:t>
      </w:r>
      <w:r w:rsidR="007E21CA">
        <w:rPr>
          <w:color w:val="000000"/>
          <w:szCs w:val="24"/>
        </w:rPr>
        <w:t>ok háztartásokban történő el</w:t>
      </w:r>
      <w:r w:rsidR="00384C5A">
        <w:rPr>
          <w:color w:val="000000"/>
          <w:szCs w:val="24"/>
        </w:rPr>
        <w:t>égetés</w:t>
      </w:r>
      <w:r w:rsidR="007E21CA">
        <w:rPr>
          <w:color w:val="000000"/>
          <w:szCs w:val="24"/>
        </w:rPr>
        <w:t>ének</w:t>
      </w:r>
      <w:r w:rsidR="00384C5A">
        <w:rPr>
          <w:color w:val="000000"/>
          <w:szCs w:val="24"/>
        </w:rPr>
        <w:t xml:space="preserve"> egyre súlyosabb problémájára</w:t>
      </w:r>
      <w:r>
        <w:rPr>
          <w:color w:val="000000"/>
          <w:szCs w:val="24"/>
        </w:rPr>
        <w:t xml:space="preserve"> is</w:t>
      </w:r>
      <w:r w:rsidR="00384C5A">
        <w:rPr>
          <w:color w:val="000000"/>
          <w:szCs w:val="24"/>
        </w:rPr>
        <w:t xml:space="preserve">, rávilágítva annak egészségügyi </w:t>
      </w:r>
      <w:r w:rsidR="000D6FE4">
        <w:rPr>
          <w:color w:val="000000"/>
          <w:szCs w:val="24"/>
        </w:rPr>
        <w:t xml:space="preserve">és környezeti </w:t>
      </w:r>
      <w:r w:rsidR="00384C5A">
        <w:rPr>
          <w:color w:val="000000"/>
          <w:szCs w:val="24"/>
        </w:rPr>
        <w:t>kockázataira.</w:t>
      </w:r>
    </w:p>
    <w:p w:rsidR="00F719CD" w:rsidRPr="00935D13" w:rsidRDefault="00F719CD" w:rsidP="002D404A">
      <w:pPr>
        <w:jc w:val="both"/>
        <w:rPr>
          <w:color w:val="000000"/>
          <w:szCs w:val="24"/>
        </w:rPr>
      </w:pPr>
    </w:p>
    <w:p w:rsidR="00F719CD" w:rsidRPr="00935D13" w:rsidRDefault="00F719CD" w:rsidP="002D404A">
      <w:pPr>
        <w:jc w:val="both"/>
        <w:rPr>
          <w:color w:val="000000"/>
          <w:szCs w:val="24"/>
        </w:rPr>
      </w:pPr>
      <w:r w:rsidRPr="00935D13">
        <w:rPr>
          <w:color w:val="000000"/>
          <w:szCs w:val="24"/>
        </w:rPr>
        <w:t>55-58. oldal</w:t>
      </w:r>
    </w:p>
    <w:p w:rsidR="009F17B2" w:rsidRDefault="006C7068" w:rsidP="000A6143">
      <w:pPr>
        <w:spacing w:after="160" w:line="259" w:lineRule="auto"/>
        <w:rPr>
          <w:rFonts w:eastAsia="Calibri"/>
          <w:szCs w:val="24"/>
          <w:lang w:eastAsia="en-US"/>
        </w:rPr>
      </w:pPr>
      <w:r>
        <w:rPr>
          <w:color w:val="000000"/>
          <w:szCs w:val="24"/>
        </w:rPr>
        <w:t xml:space="preserve">A </w:t>
      </w:r>
      <w:r w:rsidR="00F719CD" w:rsidRPr="00935D13">
        <w:rPr>
          <w:color w:val="000000"/>
          <w:szCs w:val="24"/>
        </w:rPr>
        <w:t xml:space="preserve">kampányok esetében </w:t>
      </w:r>
      <w:r>
        <w:rPr>
          <w:color w:val="000000"/>
          <w:szCs w:val="24"/>
        </w:rPr>
        <w:t xml:space="preserve">javasoljuk a társadalmi </w:t>
      </w:r>
      <w:r w:rsidR="00F719CD" w:rsidRPr="00935D13">
        <w:rPr>
          <w:color w:val="000000"/>
          <w:szCs w:val="24"/>
        </w:rPr>
        <w:t xml:space="preserve">szervezetek </w:t>
      </w:r>
      <w:r>
        <w:rPr>
          <w:color w:val="000000"/>
          <w:szCs w:val="24"/>
        </w:rPr>
        <w:t>bevonását azok megvalósításába, vagy koordinálásába</w:t>
      </w:r>
      <w:r w:rsidR="00F719CD" w:rsidRPr="00935D13">
        <w:rPr>
          <w:color w:val="000000"/>
          <w:szCs w:val="24"/>
        </w:rPr>
        <w:t>.</w:t>
      </w:r>
    </w:p>
    <w:p w:rsidR="002D404A" w:rsidRPr="00935D13" w:rsidRDefault="002D404A" w:rsidP="000A6143">
      <w:pPr>
        <w:spacing w:after="160" w:line="259" w:lineRule="auto"/>
        <w:rPr>
          <w:rFonts w:eastAsia="Calibri"/>
          <w:szCs w:val="24"/>
          <w:lang w:eastAsia="en-US"/>
        </w:rPr>
      </w:pPr>
    </w:p>
    <w:p w:rsidR="000423D6" w:rsidRPr="00935D13" w:rsidRDefault="000A6143" w:rsidP="000A6143">
      <w:pPr>
        <w:spacing w:after="160" w:line="259" w:lineRule="auto"/>
        <w:rPr>
          <w:rFonts w:eastAsia="Calibri"/>
          <w:szCs w:val="24"/>
          <w:lang w:eastAsia="en-US"/>
        </w:rPr>
      </w:pPr>
      <w:r w:rsidRPr="00935D13">
        <w:rPr>
          <w:rFonts w:eastAsia="Calibri"/>
          <w:szCs w:val="24"/>
          <w:lang w:eastAsia="en-US"/>
        </w:rPr>
        <w:t xml:space="preserve">2014. </w:t>
      </w:r>
      <w:r w:rsidR="00935D13">
        <w:rPr>
          <w:rFonts w:eastAsia="Calibri"/>
          <w:szCs w:val="24"/>
          <w:lang w:eastAsia="en-US"/>
        </w:rPr>
        <w:t>december</w:t>
      </w:r>
      <w:r w:rsidRPr="00935D13">
        <w:rPr>
          <w:rFonts w:eastAsia="Calibri"/>
          <w:szCs w:val="24"/>
          <w:lang w:eastAsia="en-US"/>
        </w:rPr>
        <w:t xml:space="preserve"> </w:t>
      </w:r>
      <w:r w:rsidR="00B113F1">
        <w:rPr>
          <w:rFonts w:eastAsia="Calibri"/>
          <w:szCs w:val="24"/>
          <w:lang w:eastAsia="en-US"/>
        </w:rPr>
        <w:t>17.</w:t>
      </w:r>
    </w:p>
    <w:sectPr w:rsidR="000423D6" w:rsidRPr="00935D13" w:rsidSect="002975FC">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13" w:rsidRDefault="007C4813">
      <w:r>
        <w:separator/>
      </w:r>
    </w:p>
  </w:endnote>
  <w:endnote w:type="continuationSeparator" w:id="0">
    <w:p w:rsidR="007C4813" w:rsidRDefault="007C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endon Condensed">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F77403">
    <w:pPr>
      <w:pStyle w:val="llb"/>
      <w:pBdr>
        <w:top w:val="dashDotStroked" w:sz="24" w:space="2" w:color="auto"/>
      </w:pBdr>
      <w:jc w:val="center"/>
      <w:rPr>
        <w:rFonts w:ascii="Clarendon Condensed" w:hAnsi="Clarendon Condensed"/>
        <w:spacing w:val="40"/>
        <w:sz w:val="20"/>
      </w:rPr>
    </w:pP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OKT Titkárság: 1055 Budapest, Kossuth tér 11.</w:t>
    </w: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Postacím: 1860 Bp.</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Telefon: 1- 79 51063, 1- 79 53699. Fax: 1- 79 50429.</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00280B3A" w:rsidRPr="00095C0B">
        <w:rPr>
          <w:rStyle w:val="Hiperhivatkozs"/>
          <w:rFonts w:ascii="Clarendon Condensed" w:hAnsi="Clarendon Condensed"/>
          <w:spacing w:val="40"/>
          <w:sz w:val="20"/>
        </w:rPr>
        <w:t>okttitk@fm.gov.hu</w:t>
      </w:r>
    </w:hyperlink>
  </w:p>
  <w:p w:rsidR="00F62078" w:rsidRPr="002031B2" w:rsidRDefault="00F62078" w:rsidP="00F77403">
    <w:pPr>
      <w:pStyle w:val="llb"/>
      <w:jc w:val="center"/>
      <w:rPr>
        <w:rFonts w:ascii="Clarendon Condensed" w:hAnsi="Clarendon Condensed"/>
        <w:color w:val="000000" w:themeColor="text1"/>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13" w:rsidRDefault="007C4813">
      <w:r>
        <w:separator/>
      </w:r>
    </w:p>
  </w:footnote>
  <w:footnote w:type="continuationSeparator" w:id="0">
    <w:p w:rsidR="007C4813" w:rsidRDefault="007C4813">
      <w:r>
        <w:continuationSeparator/>
      </w:r>
    </w:p>
  </w:footnote>
  <w:footnote w:id="1">
    <w:p w:rsidR="00F719CD" w:rsidRPr="006C2862" w:rsidRDefault="00F719CD" w:rsidP="00F719CD">
      <w:pPr>
        <w:spacing w:before="240" w:after="360"/>
        <w:jc w:val="both"/>
        <w:rPr>
          <w:sz w:val="20"/>
        </w:rPr>
      </w:pPr>
      <w:r w:rsidRPr="006C2862">
        <w:rPr>
          <w:rStyle w:val="Lbjegyzet-hivatkozs"/>
          <w:sz w:val="20"/>
        </w:rPr>
        <w:footnoteRef/>
      </w:r>
      <w:r>
        <w:t xml:space="preserve"> </w:t>
      </w:r>
      <w:r w:rsidRPr="00935D13">
        <w:rPr>
          <w:bCs/>
          <w:sz w:val="20"/>
        </w:rPr>
        <w:t xml:space="preserve">Állásfoglalás </w:t>
      </w:r>
      <w:r w:rsidRPr="00935D13">
        <w:rPr>
          <w:sz w:val="20"/>
        </w:rPr>
        <w:t>a „Nemzeti Energiastratégia 2030-ig, kitekintéssel 2050-re” c. dokumentumról (http://www.oktt.hu/)</w:t>
      </w:r>
      <w:r w:rsidR="00935D13" w:rsidRPr="00935D13">
        <w:rPr>
          <w:sz w:val="20"/>
        </w:rPr>
        <w:t>:</w:t>
      </w:r>
      <w:r w:rsidRPr="00935D13">
        <w:rPr>
          <w:i/>
          <w:sz w:val="20"/>
        </w:rPr>
        <w:t>„</w:t>
      </w:r>
      <w:r w:rsidRPr="006C2862">
        <w:rPr>
          <w:i/>
          <w:sz w:val="20"/>
        </w:rPr>
        <w:t xml:space="preserve">Az OKT jelen állásfoglalásával azt kívánja szorgalmazni, hogy a jövőben meghozandó döntések egyidejűleg szolgálják a fogyasztók biztonságos ellátását és a környezet védelmét; tágabb értelemben a fenntartható fejlődést. Ennek legfőbb eszközei: i) az energiafelhasználás csökkentése, </w:t>
      </w:r>
      <w:proofErr w:type="spellStart"/>
      <w:r w:rsidRPr="006C2862">
        <w:rPr>
          <w:i/>
          <w:sz w:val="20"/>
        </w:rPr>
        <w:t>ii</w:t>
      </w:r>
      <w:proofErr w:type="spellEnd"/>
      <w:r w:rsidRPr="006C2862">
        <w:rPr>
          <w:i/>
          <w:sz w:val="20"/>
        </w:rPr>
        <w:t xml:space="preserve">) a hatékonyság javítása és az energiatakarékosságra ösztönzés, valamint </w:t>
      </w:r>
      <w:proofErr w:type="spellStart"/>
      <w:r w:rsidRPr="006C2862">
        <w:rPr>
          <w:i/>
          <w:sz w:val="20"/>
        </w:rPr>
        <w:t>iii</w:t>
      </w:r>
      <w:proofErr w:type="spellEnd"/>
      <w:r w:rsidRPr="006C2862">
        <w:rPr>
          <w:i/>
          <w:sz w:val="20"/>
        </w:rPr>
        <w:t>) a fenntartható módon termelt és felhasznált megújuló energiaforrások részarányának növelése”</w:t>
      </w:r>
    </w:p>
  </w:footnote>
  <w:footnote w:id="2">
    <w:p w:rsidR="00F719CD" w:rsidRPr="00E45155" w:rsidRDefault="00F719CD" w:rsidP="00E45155">
      <w:pPr>
        <w:pStyle w:val="ListParagraph1"/>
        <w:ind w:left="0"/>
        <w:jc w:val="both"/>
        <w:rPr>
          <w:rFonts w:ascii="Times New Roman" w:hAnsi="Times New Roman" w:cs="Times New Roman"/>
          <w:i/>
          <w:sz w:val="20"/>
          <w:szCs w:val="20"/>
          <w:lang w:eastAsia="hu-HU"/>
        </w:rPr>
      </w:pPr>
      <w:r w:rsidRPr="00935D13">
        <w:rPr>
          <w:rFonts w:ascii="Times New Roman" w:hAnsi="Times New Roman" w:cs="Times New Roman"/>
          <w:i/>
          <w:sz w:val="20"/>
          <w:szCs w:val="20"/>
          <w:lang w:eastAsia="hu-HU"/>
        </w:rPr>
        <w:footnoteRef/>
      </w:r>
      <w:r w:rsidRPr="00935D13">
        <w:rPr>
          <w:rFonts w:ascii="Times New Roman" w:hAnsi="Times New Roman" w:cs="Times New Roman"/>
          <w:i/>
          <w:sz w:val="20"/>
          <w:szCs w:val="20"/>
          <w:lang w:eastAsia="hu-HU"/>
        </w:rPr>
        <w:t xml:space="preserve"> A Tanács felhívja a figyelmet arra, hogy az energiatermelés és felhasználás kérdései nem választhatók szét a társadalom értékrendszerét, kultúráját, illetve a termelés és a fogyasztás szerkezetét érintő alapvető kérdésektől. A jelenlegi környezeti és társadalmi problémák nem oldhatók meg a fogyasztói társadalom szemléletrendszerében, azok valódi csökkentéséhez alapvető társadalmi szemléleti és erkölcsi változásokra van szükség. Hosszú távú fenntarthatóságot szolgáló termelési és fogyasztói szerkezetre van szükség, amelyben az anyag és energiafelhasználás abszolút értelemben csökken, az anyagi termelés és fogyasztás egész rendszere körfolyamatokon keresztül kapcsolódik össze, a szerkezet egészében pedig dominálnak a nem anyag és energiaigényes </w:t>
      </w:r>
      <w:r w:rsidRPr="00935D13">
        <w:rPr>
          <w:rFonts w:ascii="Times New Roman" w:hAnsi="Times New Roman" w:cs="Times New Roman"/>
          <w:i/>
          <w:sz w:val="20"/>
          <w:szCs w:val="20"/>
          <w:lang w:eastAsia="hu-HU"/>
        </w:rPr>
        <w:t>szolgáltatások.</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81pt" o:ole="">
          <v:imagedata r:id="rId1" o:title=""/>
        </v:shape>
        <o:OLEObject Type="Embed" ProgID="MSPhotoEd.3" ShapeID="_x0000_i1025" DrawAspect="Content" ObjectID="_1480405801" r:id="rId2"/>
      </w:object>
    </w:r>
  </w:p>
  <w:p w:rsidR="00F62078" w:rsidRDefault="00F62078">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o"/>
      <w:lvlJc w:val="left"/>
      <w:pPr>
        <w:tabs>
          <w:tab w:val="num" w:pos="0"/>
        </w:tabs>
        <w:ind w:left="737" w:hanging="360"/>
      </w:pPr>
      <w:rPr>
        <w:rFonts w:ascii="Courier New" w:hAnsi="Courier New" w:cs="Courier New"/>
      </w:rPr>
    </w:lvl>
    <w:lvl w:ilvl="1">
      <w:start w:val="1"/>
      <w:numFmt w:val="bullet"/>
      <w:lvlText w:val="o"/>
      <w:lvlJc w:val="left"/>
      <w:pPr>
        <w:tabs>
          <w:tab w:val="num" w:pos="0"/>
        </w:tabs>
        <w:ind w:left="1457" w:hanging="360"/>
      </w:pPr>
      <w:rPr>
        <w:rFonts w:ascii="Courier New" w:hAnsi="Courier New" w:cs="Courier New"/>
      </w:rPr>
    </w:lvl>
    <w:lvl w:ilvl="2">
      <w:start w:val="1"/>
      <w:numFmt w:val="bullet"/>
      <w:lvlText w:val=""/>
      <w:lvlJc w:val="left"/>
      <w:pPr>
        <w:tabs>
          <w:tab w:val="num" w:pos="0"/>
        </w:tabs>
        <w:ind w:left="2177" w:hanging="360"/>
      </w:pPr>
      <w:rPr>
        <w:rFonts w:ascii="Wingdings" w:hAnsi="Wingdings"/>
      </w:rPr>
    </w:lvl>
    <w:lvl w:ilvl="3">
      <w:start w:val="1"/>
      <w:numFmt w:val="bullet"/>
      <w:lvlText w:val=""/>
      <w:lvlJc w:val="left"/>
      <w:pPr>
        <w:tabs>
          <w:tab w:val="num" w:pos="0"/>
        </w:tabs>
        <w:ind w:left="2897" w:hanging="360"/>
      </w:pPr>
      <w:rPr>
        <w:rFonts w:ascii="Symbol" w:hAnsi="Symbol"/>
      </w:rPr>
    </w:lvl>
    <w:lvl w:ilvl="4">
      <w:start w:val="1"/>
      <w:numFmt w:val="bullet"/>
      <w:lvlText w:val="o"/>
      <w:lvlJc w:val="left"/>
      <w:pPr>
        <w:tabs>
          <w:tab w:val="num" w:pos="0"/>
        </w:tabs>
        <w:ind w:left="3617" w:hanging="360"/>
      </w:pPr>
      <w:rPr>
        <w:rFonts w:ascii="Courier New" w:hAnsi="Courier New" w:cs="Courier New"/>
      </w:rPr>
    </w:lvl>
    <w:lvl w:ilvl="5">
      <w:start w:val="1"/>
      <w:numFmt w:val="bullet"/>
      <w:lvlText w:val=""/>
      <w:lvlJc w:val="left"/>
      <w:pPr>
        <w:tabs>
          <w:tab w:val="num" w:pos="0"/>
        </w:tabs>
        <w:ind w:left="4337" w:hanging="360"/>
      </w:pPr>
      <w:rPr>
        <w:rFonts w:ascii="Wingdings" w:hAnsi="Wingdings"/>
      </w:rPr>
    </w:lvl>
    <w:lvl w:ilvl="6">
      <w:start w:val="1"/>
      <w:numFmt w:val="bullet"/>
      <w:lvlText w:val=""/>
      <w:lvlJc w:val="left"/>
      <w:pPr>
        <w:tabs>
          <w:tab w:val="num" w:pos="0"/>
        </w:tabs>
        <w:ind w:left="5057" w:hanging="360"/>
      </w:pPr>
      <w:rPr>
        <w:rFonts w:ascii="Symbol" w:hAnsi="Symbol"/>
      </w:rPr>
    </w:lvl>
    <w:lvl w:ilvl="7">
      <w:start w:val="1"/>
      <w:numFmt w:val="bullet"/>
      <w:lvlText w:val="o"/>
      <w:lvlJc w:val="left"/>
      <w:pPr>
        <w:tabs>
          <w:tab w:val="num" w:pos="0"/>
        </w:tabs>
        <w:ind w:left="5777" w:hanging="360"/>
      </w:pPr>
      <w:rPr>
        <w:rFonts w:ascii="Courier New" w:hAnsi="Courier New" w:cs="Courier New"/>
      </w:rPr>
    </w:lvl>
    <w:lvl w:ilvl="8">
      <w:start w:val="1"/>
      <w:numFmt w:val="bullet"/>
      <w:lvlText w:val=""/>
      <w:lvlJc w:val="left"/>
      <w:pPr>
        <w:tabs>
          <w:tab w:val="num" w:pos="0"/>
        </w:tabs>
        <w:ind w:left="6497" w:hanging="360"/>
      </w:pPr>
      <w:rPr>
        <w:rFonts w:ascii="Wingdings" w:hAnsi="Wingdings"/>
      </w:rPr>
    </w:lvl>
  </w:abstractNum>
  <w:abstractNum w:abstractNumId="2">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A741BFD"/>
    <w:multiLevelType w:val="hybridMultilevel"/>
    <w:tmpl w:val="D7E05AE6"/>
    <w:lvl w:ilvl="0" w:tplc="040E000F">
      <w:start w:val="1"/>
      <w:numFmt w:val="decimal"/>
      <w:lvlText w:val="%1."/>
      <w:lvlJc w:val="left"/>
      <w:pPr>
        <w:ind w:left="294" w:hanging="360"/>
      </w:pPr>
    </w:lvl>
    <w:lvl w:ilvl="1" w:tplc="040E0019">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4">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4571C1E"/>
    <w:multiLevelType w:val="hybridMultilevel"/>
    <w:tmpl w:val="8A78C41A"/>
    <w:lvl w:ilvl="0" w:tplc="EA38E9E4">
      <w:start w:val="16"/>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B251AA9"/>
    <w:multiLevelType w:val="hybridMultilevel"/>
    <w:tmpl w:val="D6504FCE"/>
    <w:lvl w:ilvl="0" w:tplc="5588D782">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BA532F8"/>
    <w:multiLevelType w:val="hybridMultilevel"/>
    <w:tmpl w:val="0C58D9C4"/>
    <w:lvl w:ilvl="0" w:tplc="E7C2A0A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4">
    <w:nsid w:val="6E5C7D92"/>
    <w:multiLevelType w:val="hybridMultilevel"/>
    <w:tmpl w:val="5B6A6CE8"/>
    <w:lvl w:ilvl="0" w:tplc="C75E080E">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6"/>
  </w:num>
  <w:num w:numId="5">
    <w:abstractNumId w:val="4"/>
  </w:num>
  <w:num w:numId="6">
    <w:abstractNumId w:val="2"/>
  </w:num>
  <w:num w:numId="7">
    <w:abstractNumId w:val="15"/>
  </w:num>
  <w:num w:numId="8">
    <w:abstractNumId w:val="7"/>
  </w:num>
  <w:num w:numId="9">
    <w:abstractNumId w:val="14"/>
  </w:num>
  <w:num w:numId="10">
    <w:abstractNumId w:val="5"/>
  </w:num>
  <w:num w:numId="11">
    <w:abstractNumId w:val="8"/>
  </w:num>
  <w:num w:numId="12">
    <w:abstractNumId w:val="9"/>
  </w:num>
  <w:num w:numId="13">
    <w:abstractNumId w:val="3"/>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37F6"/>
    <w:rsid w:val="000008B6"/>
    <w:rsid w:val="00011212"/>
    <w:rsid w:val="00013D0D"/>
    <w:rsid w:val="00016318"/>
    <w:rsid w:val="0003417F"/>
    <w:rsid w:val="0003565B"/>
    <w:rsid w:val="000423D6"/>
    <w:rsid w:val="000473C3"/>
    <w:rsid w:val="00050B13"/>
    <w:rsid w:val="00073DF4"/>
    <w:rsid w:val="00075591"/>
    <w:rsid w:val="000800B8"/>
    <w:rsid w:val="00080183"/>
    <w:rsid w:val="00087B09"/>
    <w:rsid w:val="00093EA7"/>
    <w:rsid w:val="00094C98"/>
    <w:rsid w:val="000A0179"/>
    <w:rsid w:val="000A2908"/>
    <w:rsid w:val="000A6143"/>
    <w:rsid w:val="000A78AC"/>
    <w:rsid w:val="000B13D8"/>
    <w:rsid w:val="000B6074"/>
    <w:rsid w:val="000B6387"/>
    <w:rsid w:val="000C75F3"/>
    <w:rsid w:val="000D6FE4"/>
    <w:rsid w:val="000E2B9A"/>
    <w:rsid w:val="000E2C5B"/>
    <w:rsid w:val="000F2CC9"/>
    <w:rsid w:val="00101B16"/>
    <w:rsid w:val="00102568"/>
    <w:rsid w:val="0012057F"/>
    <w:rsid w:val="00126BE2"/>
    <w:rsid w:val="00130B64"/>
    <w:rsid w:val="001310C1"/>
    <w:rsid w:val="00147E1C"/>
    <w:rsid w:val="0015324C"/>
    <w:rsid w:val="00154D23"/>
    <w:rsid w:val="00161771"/>
    <w:rsid w:val="00172A0C"/>
    <w:rsid w:val="00176DE3"/>
    <w:rsid w:val="00183F0E"/>
    <w:rsid w:val="001A5508"/>
    <w:rsid w:val="001B1053"/>
    <w:rsid w:val="001B24A1"/>
    <w:rsid w:val="001C24E0"/>
    <w:rsid w:val="001C35D6"/>
    <w:rsid w:val="001C3E85"/>
    <w:rsid w:val="001D2AC7"/>
    <w:rsid w:val="001E05B6"/>
    <w:rsid w:val="001E442F"/>
    <w:rsid w:val="001F0D40"/>
    <w:rsid w:val="001F0F1C"/>
    <w:rsid w:val="001F2879"/>
    <w:rsid w:val="002031B2"/>
    <w:rsid w:val="00204656"/>
    <w:rsid w:val="002120FE"/>
    <w:rsid w:val="00212FBC"/>
    <w:rsid w:val="002158B4"/>
    <w:rsid w:val="002161CB"/>
    <w:rsid w:val="00220757"/>
    <w:rsid w:val="0022093E"/>
    <w:rsid w:val="00220C34"/>
    <w:rsid w:val="00221634"/>
    <w:rsid w:val="00230A6F"/>
    <w:rsid w:val="00233655"/>
    <w:rsid w:val="002627CD"/>
    <w:rsid w:val="00262A06"/>
    <w:rsid w:val="002646F2"/>
    <w:rsid w:val="00271733"/>
    <w:rsid w:val="00275182"/>
    <w:rsid w:val="00275BF2"/>
    <w:rsid w:val="00280B3A"/>
    <w:rsid w:val="00283E67"/>
    <w:rsid w:val="002975FC"/>
    <w:rsid w:val="002A23C1"/>
    <w:rsid w:val="002A2934"/>
    <w:rsid w:val="002A3528"/>
    <w:rsid w:val="002A531F"/>
    <w:rsid w:val="002D404A"/>
    <w:rsid w:val="002E1A1D"/>
    <w:rsid w:val="002E2ADE"/>
    <w:rsid w:val="002F5B0E"/>
    <w:rsid w:val="00307947"/>
    <w:rsid w:val="00313049"/>
    <w:rsid w:val="003357FA"/>
    <w:rsid w:val="00337D2A"/>
    <w:rsid w:val="003425B7"/>
    <w:rsid w:val="00352340"/>
    <w:rsid w:val="00360686"/>
    <w:rsid w:val="0036118E"/>
    <w:rsid w:val="0037073D"/>
    <w:rsid w:val="0038408E"/>
    <w:rsid w:val="00384C5A"/>
    <w:rsid w:val="00386B86"/>
    <w:rsid w:val="003B46F7"/>
    <w:rsid w:val="003C2886"/>
    <w:rsid w:val="003E38E1"/>
    <w:rsid w:val="003E53F0"/>
    <w:rsid w:val="003E6E53"/>
    <w:rsid w:val="003E715C"/>
    <w:rsid w:val="003F567A"/>
    <w:rsid w:val="00401E82"/>
    <w:rsid w:val="00406380"/>
    <w:rsid w:val="00420093"/>
    <w:rsid w:val="004215DC"/>
    <w:rsid w:val="00424227"/>
    <w:rsid w:val="00431537"/>
    <w:rsid w:val="00431BB3"/>
    <w:rsid w:val="00435207"/>
    <w:rsid w:val="00464E1B"/>
    <w:rsid w:val="00467BFB"/>
    <w:rsid w:val="00484898"/>
    <w:rsid w:val="004921D4"/>
    <w:rsid w:val="00495240"/>
    <w:rsid w:val="00496913"/>
    <w:rsid w:val="004C4BDF"/>
    <w:rsid w:val="004E3F09"/>
    <w:rsid w:val="004E5DD2"/>
    <w:rsid w:val="004F2071"/>
    <w:rsid w:val="004F2EA4"/>
    <w:rsid w:val="00507803"/>
    <w:rsid w:val="005104B7"/>
    <w:rsid w:val="00513B8A"/>
    <w:rsid w:val="00520010"/>
    <w:rsid w:val="00525A56"/>
    <w:rsid w:val="00535E81"/>
    <w:rsid w:val="005375F2"/>
    <w:rsid w:val="00562FA2"/>
    <w:rsid w:val="00563552"/>
    <w:rsid w:val="00563632"/>
    <w:rsid w:val="00575C6A"/>
    <w:rsid w:val="00576C82"/>
    <w:rsid w:val="00585442"/>
    <w:rsid w:val="00585762"/>
    <w:rsid w:val="00594008"/>
    <w:rsid w:val="00594B89"/>
    <w:rsid w:val="00597A62"/>
    <w:rsid w:val="005A4DD2"/>
    <w:rsid w:val="005E2E1C"/>
    <w:rsid w:val="005E3DFC"/>
    <w:rsid w:val="005E5E4D"/>
    <w:rsid w:val="006129F6"/>
    <w:rsid w:val="006219C0"/>
    <w:rsid w:val="006253EC"/>
    <w:rsid w:val="00632A71"/>
    <w:rsid w:val="00633879"/>
    <w:rsid w:val="006507E6"/>
    <w:rsid w:val="006728E0"/>
    <w:rsid w:val="00685A31"/>
    <w:rsid w:val="006A404E"/>
    <w:rsid w:val="006C7068"/>
    <w:rsid w:val="006D3F92"/>
    <w:rsid w:val="006E1DDB"/>
    <w:rsid w:val="006E401D"/>
    <w:rsid w:val="006F1E93"/>
    <w:rsid w:val="006F3B94"/>
    <w:rsid w:val="00702D46"/>
    <w:rsid w:val="00711969"/>
    <w:rsid w:val="00714AB1"/>
    <w:rsid w:val="00721CE2"/>
    <w:rsid w:val="00721FC9"/>
    <w:rsid w:val="0072465B"/>
    <w:rsid w:val="00725F91"/>
    <w:rsid w:val="0072728F"/>
    <w:rsid w:val="007330BC"/>
    <w:rsid w:val="007368DB"/>
    <w:rsid w:val="00741710"/>
    <w:rsid w:val="007428D9"/>
    <w:rsid w:val="00767356"/>
    <w:rsid w:val="00791EFC"/>
    <w:rsid w:val="00796B93"/>
    <w:rsid w:val="007B0C42"/>
    <w:rsid w:val="007C4813"/>
    <w:rsid w:val="007D56FF"/>
    <w:rsid w:val="007E21CA"/>
    <w:rsid w:val="007E540A"/>
    <w:rsid w:val="007E6C04"/>
    <w:rsid w:val="007F0917"/>
    <w:rsid w:val="008103FA"/>
    <w:rsid w:val="00823BBC"/>
    <w:rsid w:val="0082742C"/>
    <w:rsid w:val="00834273"/>
    <w:rsid w:val="0083455A"/>
    <w:rsid w:val="00841FEB"/>
    <w:rsid w:val="00846191"/>
    <w:rsid w:val="008551A1"/>
    <w:rsid w:val="008551B2"/>
    <w:rsid w:val="0087496A"/>
    <w:rsid w:val="008858EC"/>
    <w:rsid w:val="008A5255"/>
    <w:rsid w:val="008B07DA"/>
    <w:rsid w:val="008B4857"/>
    <w:rsid w:val="008C47B5"/>
    <w:rsid w:val="008C5064"/>
    <w:rsid w:val="008E2B70"/>
    <w:rsid w:val="008E3D84"/>
    <w:rsid w:val="008F06ED"/>
    <w:rsid w:val="008F1D7D"/>
    <w:rsid w:val="008F2D4A"/>
    <w:rsid w:val="008F3E4E"/>
    <w:rsid w:val="008F6187"/>
    <w:rsid w:val="008F6763"/>
    <w:rsid w:val="00902199"/>
    <w:rsid w:val="00912902"/>
    <w:rsid w:val="00935D13"/>
    <w:rsid w:val="009429E8"/>
    <w:rsid w:val="00956494"/>
    <w:rsid w:val="00960BC4"/>
    <w:rsid w:val="00972EB1"/>
    <w:rsid w:val="009769A6"/>
    <w:rsid w:val="009C7BA0"/>
    <w:rsid w:val="009D5E87"/>
    <w:rsid w:val="009E12D3"/>
    <w:rsid w:val="009E3B32"/>
    <w:rsid w:val="009E6833"/>
    <w:rsid w:val="009F17B2"/>
    <w:rsid w:val="00A00841"/>
    <w:rsid w:val="00A048D0"/>
    <w:rsid w:val="00A05553"/>
    <w:rsid w:val="00A11583"/>
    <w:rsid w:val="00A11588"/>
    <w:rsid w:val="00A120D2"/>
    <w:rsid w:val="00A162E5"/>
    <w:rsid w:val="00A3277C"/>
    <w:rsid w:val="00A6174F"/>
    <w:rsid w:val="00A76C3D"/>
    <w:rsid w:val="00A812AF"/>
    <w:rsid w:val="00A820ED"/>
    <w:rsid w:val="00A90055"/>
    <w:rsid w:val="00AA6125"/>
    <w:rsid w:val="00AB1F3C"/>
    <w:rsid w:val="00AB4E3A"/>
    <w:rsid w:val="00AD5C62"/>
    <w:rsid w:val="00AF5CE4"/>
    <w:rsid w:val="00B02F68"/>
    <w:rsid w:val="00B05AD4"/>
    <w:rsid w:val="00B05ED6"/>
    <w:rsid w:val="00B06518"/>
    <w:rsid w:val="00B0780A"/>
    <w:rsid w:val="00B07B46"/>
    <w:rsid w:val="00B10ECB"/>
    <w:rsid w:val="00B113F1"/>
    <w:rsid w:val="00B11A54"/>
    <w:rsid w:val="00B14818"/>
    <w:rsid w:val="00B2329D"/>
    <w:rsid w:val="00B432AE"/>
    <w:rsid w:val="00B56959"/>
    <w:rsid w:val="00B72F9E"/>
    <w:rsid w:val="00B74896"/>
    <w:rsid w:val="00B9684A"/>
    <w:rsid w:val="00BA6EDA"/>
    <w:rsid w:val="00BB22C8"/>
    <w:rsid w:val="00BB49D5"/>
    <w:rsid w:val="00BB7062"/>
    <w:rsid w:val="00BC0B38"/>
    <w:rsid w:val="00BC2E1C"/>
    <w:rsid w:val="00BD3DB2"/>
    <w:rsid w:val="00BD4865"/>
    <w:rsid w:val="00BE4B9A"/>
    <w:rsid w:val="00BE6548"/>
    <w:rsid w:val="00BF0BA9"/>
    <w:rsid w:val="00BF14C7"/>
    <w:rsid w:val="00C066EE"/>
    <w:rsid w:val="00C1237F"/>
    <w:rsid w:val="00C13CAE"/>
    <w:rsid w:val="00C150DA"/>
    <w:rsid w:val="00C15FDA"/>
    <w:rsid w:val="00C17085"/>
    <w:rsid w:val="00C20F4F"/>
    <w:rsid w:val="00C61588"/>
    <w:rsid w:val="00C86F30"/>
    <w:rsid w:val="00CA1AB4"/>
    <w:rsid w:val="00CA7B47"/>
    <w:rsid w:val="00CB2053"/>
    <w:rsid w:val="00CB3B4E"/>
    <w:rsid w:val="00CD33A6"/>
    <w:rsid w:val="00CE6804"/>
    <w:rsid w:val="00D01A57"/>
    <w:rsid w:val="00D01F6B"/>
    <w:rsid w:val="00D02C60"/>
    <w:rsid w:val="00D05F78"/>
    <w:rsid w:val="00D21664"/>
    <w:rsid w:val="00D218C5"/>
    <w:rsid w:val="00D22E9F"/>
    <w:rsid w:val="00D447FB"/>
    <w:rsid w:val="00D473EB"/>
    <w:rsid w:val="00D53B6A"/>
    <w:rsid w:val="00D61B6D"/>
    <w:rsid w:val="00D769A0"/>
    <w:rsid w:val="00D8190C"/>
    <w:rsid w:val="00D96CAE"/>
    <w:rsid w:val="00DC2A55"/>
    <w:rsid w:val="00DC6AED"/>
    <w:rsid w:val="00DD6525"/>
    <w:rsid w:val="00DE3B4E"/>
    <w:rsid w:val="00DF169E"/>
    <w:rsid w:val="00DF1D22"/>
    <w:rsid w:val="00DF1DFB"/>
    <w:rsid w:val="00E00A6D"/>
    <w:rsid w:val="00E01A50"/>
    <w:rsid w:val="00E06873"/>
    <w:rsid w:val="00E211CC"/>
    <w:rsid w:val="00E3308D"/>
    <w:rsid w:val="00E45155"/>
    <w:rsid w:val="00E46CF8"/>
    <w:rsid w:val="00E47A77"/>
    <w:rsid w:val="00E47C7A"/>
    <w:rsid w:val="00E548E1"/>
    <w:rsid w:val="00E56A74"/>
    <w:rsid w:val="00E733CC"/>
    <w:rsid w:val="00E76039"/>
    <w:rsid w:val="00E83ECB"/>
    <w:rsid w:val="00E84956"/>
    <w:rsid w:val="00EA0134"/>
    <w:rsid w:val="00EC3052"/>
    <w:rsid w:val="00EE38C9"/>
    <w:rsid w:val="00EE756B"/>
    <w:rsid w:val="00EF384C"/>
    <w:rsid w:val="00EF4757"/>
    <w:rsid w:val="00F00115"/>
    <w:rsid w:val="00F07011"/>
    <w:rsid w:val="00F15CD3"/>
    <w:rsid w:val="00F17B76"/>
    <w:rsid w:val="00F2686A"/>
    <w:rsid w:val="00F35FDA"/>
    <w:rsid w:val="00F5260D"/>
    <w:rsid w:val="00F62078"/>
    <w:rsid w:val="00F67081"/>
    <w:rsid w:val="00F67797"/>
    <w:rsid w:val="00F71205"/>
    <w:rsid w:val="00F719CD"/>
    <w:rsid w:val="00F7549D"/>
    <w:rsid w:val="00F7629D"/>
    <w:rsid w:val="00F77403"/>
    <w:rsid w:val="00F937F6"/>
    <w:rsid w:val="00FA149D"/>
    <w:rsid w:val="00FB3E0B"/>
    <w:rsid w:val="00FB602B"/>
    <w:rsid w:val="00FB7ADD"/>
    <w:rsid w:val="00FC331A"/>
    <w:rsid w:val="00FC3D54"/>
    <w:rsid w:val="00FD032A"/>
    <w:rsid w:val="00FD23C3"/>
    <w:rsid w:val="00FE3579"/>
    <w:rsid w:val="00FE5B3F"/>
    <w:rsid w:val="00FF327F"/>
    <w:rsid w:val="00FF6D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975FC"/>
    <w:rPr>
      <w:sz w:val="24"/>
    </w:rPr>
  </w:style>
  <w:style w:type="paragraph" w:styleId="Cmsor1">
    <w:name w:val="heading 1"/>
    <w:basedOn w:val="Norml"/>
    <w:next w:val="Norml"/>
    <w:qFormat/>
    <w:rsid w:val="002975FC"/>
    <w:pPr>
      <w:keepNext/>
      <w:jc w:val="center"/>
      <w:outlineLvl w:val="0"/>
    </w:pPr>
    <w:rPr>
      <w:b/>
      <w:smallCaps/>
      <w:spacing w:val="60"/>
    </w:rPr>
  </w:style>
  <w:style w:type="paragraph" w:styleId="Cmsor2">
    <w:name w:val="heading 2"/>
    <w:aliases w:val="Jsz_Alcím"/>
    <w:basedOn w:val="Norml"/>
    <w:next w:val="Norml"/>
    <w:qFormat/>
    <w:rsid w:val="002975FC"/>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975FC"/>
    <w:pPr>
      <w:tabs>
        <w:tab w:val="center" w:pos="4536"/>
        <w:tab w:val="right" w:pos="9072"/>
      </w:tabs>
    </w:pPr>
  </w:style>
  <w:style w:type="paragraph" w:styleId="llb">
    <w:name w:val="footer"/>
    <w:basedOn w:val="Norml"/>
    <w:rsid w:val="002975FC"/>
    <w:pPr>
      <w:tabs>
        <w:tab w:val="center" w:pos="4536"/>
        <w:tab w:val="right" w:pos="9072"/>
      </w:tabs>
    </w:pPr>
  </w:style>
  <w:style w:type="paragraph" w:styleId="Szvegtrzs">
    <w:name w:val="Body Text"/>
    <w:basedOn w:val="Norml"/>
    <w:rsid w:val="002975FC"/>
    <w:rPr>
      <w:sz w:val="28"/>
    </w:rPr>
  </w:style>
  <w:style w:type="paragraph" w:styleId="Szvegtrzs2">
    <w:name w:val="Body Text 2"/>
    <w:basedOn w:val="Norml"/>
    <w:rsid w:val="002975FC"/>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basedOn w:val="Bekezdsalapbettpusa"/>
    <w:rsid w:val="00B72F9E"/>
    <w:rPr>
      <w:color w:val="0000FF"/>
      <w:u w:val="single"/>
    </w:rPr>
  </w:style>
  <w:style w:type="paragraph" w:styleId="NormlWeb">
    <w:name w:val="Normal (Web)"/>
    <w:basedOn w:val="Norml"/>
    <w:uiPriority w:val="99"/>
    <w:rsid w:val="001F0F1C"/>
    <w:pPr>
      <w:ind w:firstLine="180"/>
      <w:jc w:val="both"/>
    </w:pPr>
    <w:rPr>
      <w:szCs w:val="24"/>
    </w:rPr>
  </w:style>
  <w:style w:type="paragraph" w:styleId="Jegyzetszveg">
    <w:name w:val="annotation text"/>
    <w:basedOn w:val="Norml"/>
    <w:link w:val="JegyzetszvegChar"/>
    <w:unhideWhenUsed/>
    <w:rsid w:val="001F0F1C"/>
    <w:rPr>
      <w:sz w:val="20"/>
    </w:rPr>
  </w:style>
  <w:style w:type="character" w:customStyle="1" w:styleId="JegyzetszvegChar">
    <w:name w:val="Jegyzetszöveg Char"/>
    <w:basedOn w:val="Bekezdsalapbettpusa"/>
    <w:link w:val="Jegyzetszveg"/>
    <w:rsid w:val="001F0F1C"/>
  </w:style>
  <w:style w:type="paragraph" w:styleId="Listaszerbekezds">
    <w:name w:val="List Paragraph"/>
    <w:basedOn w:val="Norml"/>
    <w:uiPriority w:val="34"/>
    <w:qFormat/>
    <w:rsid w:val="0036118E"/>
    <w:pPr>
      <w:ind w:left="720"/>
      <w:contextualSpacing/>
    </w:pPr>
  </w:style>
  <w:style w:type="paragraph" w:customStyle="1" w:styleId="StlusCmsor2KzprezrtEltte18ptUtna0ptSorkz">
    <w:name w:val="Stílus Címsor 2 + Középre zárt Előtte:  18 pt Utána:  0 pt Sorköz..."/>
    <w:basedOn w:val="Cmsor2"/>
    <w:rsid w:val="00BB7062"/>
    <w:pPr>
      <w:tabs>
        <w:tab w:val="num" w:pos="360"/>
      </w:tabs>
      <w:suppressAutoHyphens/>
      <w:spacing w:before="360" w:line="360" w:lineRule="auto"/>
      <w:ind w:left="360" w:hanging="360"/>
    </w:pPr>
    <w:rPr>
      <w:b w:val="0"/>
      <w:bCs/>
      <w:i/>
      <w:iCs/>
      <w:lang w:eastAsia="ar-SA"/>
    </w:rPr>
  </w:style>
  <w:style w:type="character" w:styleId="Jegyzethivatkozs">
    <w:name w:val="annotation reference"/>
    <w:basedOn w:val="Bekezdsalapbettpusa"/>
    <w:rsid w:val="00172A0C"/>
    <w:rPr>
      <w:sz w:val="16"/>
      <w:szCs w:val="16"/>
    </w:rPr>
  </w:style>
  <w:style w:type="table" w:styleId="Rcsostblzat">
    <w:name w:val="Table Grid"/>
    <w:basedOn w:val="Normltblzat"/>
    <w:uiPriority w:val="39"/>
    <w:rsid w:val="000A61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nhideWhenUsed/>
    <w:rsid w:val="000A6143"/>
    <w:rPr>
      <w:rFonts w:ascii="Calibri" w:eastAsia="Calibri" w:hAnsi="Calibri"/>
      <w:sz w:val="20"/>
      <w:lang w:eastAsia="en-US"/>
    </w:rPr>
  </w:style>
  <w:style w:type="character" w:customStyle="1" w:styleId="LbjegyzetszvegChar">
    <w:name w:val="Lábjegyzetszöveg Char"/>
    <w:basedOn w:val="Bekezdsalapbettpusa"/>
    <w:link w:val="Lbjegyzetszveg"/>
    <w:rsid w:val="000A6143"/>
    <w:rPr>
      <w:rFonts w:ascii="Calibri" w:eastAsia="Calibri" w:hAnsi="Calibri"/>
      <w:lang w:eastAsia="en-US"/>
    </w:rPr>
  </w:style>
  <w:style w:type="character" w:styleId="Lbjegyzet-hivatkozs">
    <w:name w:val="footnote reference"/>
    <w:basedOn w:val="Bekezdsalapbettpusa"/>
    <w:unhideWhenUsed/>
    <w:rsid w:val="000A6143"/>
    <w:rPr>
      <w:vertAlign w:val="superscript"/>
    </w:rPr>
  </w:style>
  <w:style w:type="paragraph" w:customStyle="1" w:styleId="ListParagraph1">
    <w:name w:val="List Paragraph1"/>
    <w:basedOn w:val="Norml"/>
    <w:rsid w:val="00F719CD"/>
    <w:pPr>
      <w:spacing w:after="200" w:line="276" w:lineRule="auto"/>
      <w:ind w:left="720"/>
    </w:pPr>
    <w:rPr>
      <w:rFonts w:ascii="Calibri" w:hAnsi="Calibri" w:cs="Calibri"/>
      <w:sz w:val="22"/>
      <w:szCs w:val="22"/>
      <w:lang w:eastAsia="en-US"/>
    </w:rPr>
  </w:style>
  <w:style w:type="paragraph" w:customStyle="1" w:styleId="Listaszerbekezds1">
    <w:name w:val="Listaszerű bekezdés1"/>
    <w:basedOn w:val="Norml"/>
    <w:rsid w:val="00F719CD"/>
    <w:pPr>
      <w:suppressAutoHyphens/>
      <w:spacing w:after="200" w:line="276" w:lineRule="auto"/>
      <w:ind w:left="720"/>
      <w:contextualSpacing/>
    </w:pPr>
    <w:rPr>
      <w:rFonts w:ascii="Calibri" w:eastAsia="Calibri" w:hAnsi="Calibri"/>
      <w:kern w:val="1"/>
      <w:sz w:val="22"/>
      <w:szCs w:val="22"/>
      <w:lang w:eastAsia="en-US"/>
    </w:rPr>
  </w:style>
  <w:style w:type="paragraph" w:styleId="Megjegyzstrgya">
    <w:name w:val="annotation subject"/>
    <w:basedOn w:val="Jegyzetszveg"/>
    <w:next w:val="Jegyzetszveg"/>
    <w:link w:val="MegjegyzstrgyaChar"/>
    <w:rsid w:val="003E38E1"/>
    <w:rPr>
      <w:b/>
      <w:bCs/>
    </w:rPr>
  </w:style>
  <w:style w:type="character" w:customStyle="1" w:styleId="MegjegyzstrgyaChar">
    <w:name w:val="Megjegyzés tárgya Char"/>
    <w:basedOn w:val="JegyzetszvegChar"/>
    <w:link w:val="Megjegyzstrgya"/>
    <w:rsid w:val="003E38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5616">
      <w:bodyDiv w:val="1"/>
      <w:marLeft w:val="0"/>
      <w:marRight w:val="0"/>
      <w:marTop w:val="0"/>
      <w:marBottom w:val="0"/>
      <w:divBdr>
        <w:top w:val="none" w:sz="0" w:space="0" w:color="auto"/>
        <w:left w:val="none" w:sz="0" w:space="0" w:color="auto"/>
        <w:bottom w:val="none" w:sz="0" w:space="0" w:color="auto"/>
        <w:right w:val="none" w:sz="0" w:space="0" w:color="auto"/>
      </w:divBdr>
    </w:div>
    <w:div w:id="444157780">
      <w:bodyDiv w:val="1"/>
      <w:marLeft w:val="0"/>
      <w:marRight w:val="0"/>
      <w:marTop w:val="0"/>
      <w:marBottom w:val="0"/>
      <w:divBdr>
        <w:top w:val="none" w:sz="0" w:space="0" w:color="auto"/>
        <w:left w:val="none" w:sz="0" w:space="0" w:color="auto"/>
        <w:bottom w:val="none" w:sz="0" w:space="0" w:color="auto"/>
        <w:right w:val="none" w:sz="0" w:space="0" w:color="auto"/>
      </w:divBdr>
    </w:div>
    <w:div w:id="467166759">
      <w:bodyDiv w:val="1"/>
      <w:marLeft w:val="0"/>
      <w:marRight w:val="0"/>
      <w:marTop w:val="0"/>
      <w:marBottom w:val="0"/>
      <w:divBdr>
        <w:top w:val="none" w:sz="0" w:space="0" w:color="auto"/>
        <w:left w:val="none" w:sz="0" w:space="0" w:color="auto"/>
        <w:bottom w:val="none" w:sz="0" w:space="0" w:color="auto"/>
        <w:right w:val="none" w:sz="0" w:space="0" w:color="auto"/>
      </w:divBdr>
    </w:div>
    <w:div w:id="597369296">
      <w:bodyDiv w:val="1"/>
      <w:marLeft w:val="0"/>
      <w:marRight w:val="0"/>
      <w:marTop w:val="0"/>
      <w:marBottom w:val="0"/>
      <w:divBdr>
        <w:top w:val="none" w:sz="0" w:space="0" w:color="auto"/>
        <w:left w:val="none" w:sz="0" w:space="0" w:color="auto"/>
        <w:bottom w:val="none" w:sz="0" w:space="0" w:color="auto"/>
        <w:right w:val="none" w:sz="0" w:space="0" w:color="auto"/>
      </w:divBdr>
    </w:div>
    <w:div w:id="752509330">
      <w:bodyDiv w:val="1"/>
      <w:marLeft w:val="0"/>
      <w:marRight w:val="0"/>
      <w:marTop w:val="0"/>
      <w:marBottom w:val="0"/>
      <w:divBdr>
        <w:top w:val="none" w:sz="0" w:space="0" w:color="auto"/>
        <w:left w:val="none" w:sz="0" w:space="0" w:color="auto"/>
        <w:bottom w:val="none" w:sz="0" w:space="0" w:color="auto"/>
        <w:right w:val="none" w:sz="0" w:space="0" w:color="auto"/>
      </w:divBdr>
    </w:div>
    <w:div w:id="907223803">
      <w:bodyDiv w:val="1"/>
      <w:marLeft w:val="0"/>
      <w:marRight w:val="0"/>
      <w:marTop w:val="0"/>
      <w:marBottom w:val="0"/>
      <w:divBdr>
        <w:top w:val="none" w:sz="0" w:space="0" w:color="auto"/>
        <w:left w:val="none" w:sz="0" w:space="0" w:color="auto"/>
        <w:bottom w:val="none" w:sz="0" w:space="0" w:color="auto"/>
        <w:right w:val="none" w:sz="0" w:space="0" w:color="auto"/>
      </w:divBdr>
    </w:div>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f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1F1C8-295E-447E-983E-48DCCEE2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5162</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5898</CharactersWithSpaces>
  <SharedDoc>false</SharedDoc>
  <HLinks>
    <vt:vector size="6" baseType="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LakatosL</dc:creator>
  <cp:lastModifiedBy>LakatosL</cp:lastModifiedBy>
  <cp:revision>2</cp:revision>
  <cp:lastPrinted>2009-05-20T08:14:00Z</cp:lastPrinted>
  <dcterms:created xsi:type="dcterms:W3CDTF">2014-12-18T10:04:00Z</dcterms:created>
  <dcterms:modified xsi:type="dcterms:W3CDTF">2014-12-18T10:04:00Z</dcterms:modified>
</cp:coreProperties>
</file>